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media/image2.svg" ContentType="image/svg+xml"/>
  <Override PartName="/word/media/image4.svg" ContentType="image/svg+xml"/>
  <Override PartName="/word/media/image6.svg" ContentType="image/sv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3F9FB9">
      <w:pPr>
        <w:pStyle w:val="24"/>
        <w:rPr>
          <w:rFonts w:hint="eastAsia"/>
          <w:lang w:val="en-GB" w:eastAsia="ar-SA"/>
        </w:rPr>
      </w:pPr>
      <w:r>
        <w:rPr>
          <w:rFonts w:hint="default"/>
          <w:lang w:val="en-GB" w:eastAsia="ar-SA"/>
        </w:rPr>
        <w:t>Education</w:t>
      </w:r>
      <w:r>
        <w:rPr>
          <w:rFonts w:hint="eastAsia"/>
          <w:lang w:val="en-US" w:eastAsia="zh-CN"/>
        </w:rPr>
        <w:t xml:space="preserve"> </w:t>
      </w:r>
      <w:r>
        <w:rPr>
          <w:rFonts w:hint="eastAsia"/>
          <w:lang w:val="en-GB" w:eastAsia="ar-SA"/>
        </w:rPr>
        <w:t>Psychological Challenges and Research Gaps in GenAI-Integrated Creative Disciplines: A Scoping Review</w:t>
      </w:r>
    </w:p>
    <w:p w14:paraId="0F874C6A">
      <w:pPr>
        <w:spacing w:before="122" w:line="196" w:lineRule="auto"/>
        <w:jc w:val="both"/>
        <w:outlineLvl w:val="1"/>
        <w:rPr>
          <w:rFonts w:ascii="Times New Roman" w:hAnsi="Times New Roman" w:eastAsia="Calibri" w:cs="Times New Roman"/>
          <w:b/>
          <w:bCs/>
          <w:spacing w:val="9"/>
          <w:sz w:val="28"/>
          <w:szCs w:val="28"/>
        </w:rPr>
      </w:pPr>
    </w:p>
    <w:p w14:paraId="6C2BAE2A">
      <w:pPr>
        <w:spacing w:before="122" w:line="196" w:lineRule="auto"/>
        <w:jc w:val="both"/>
        <w:outlineLvl w:val="1"/>
        <w:rPr>
          <w:rFonts w:ascii="Times New Roman" w:hAnsi="Times New Roman" w:eastAsia="Calibri" w:cs="Times New Roman"/>
          <w:b/>
          <w:bCs/>
          <w:spacing w:val="9"/>
          <w:sz w:val="28"/>
          <w:szCs w:val="28"/>
        </w:rPr>
      </w:pPr>
    </w:p>
    <w:p w14:paraId="4E450203">
      <w:pPr>
        <w:spacing w:before="122" w:line="196" w:lineRule="auto"/>
        <w:jc w:val="both"/>
        <w:outlineLvl w:val="1"/>
        <w:rPr>
          <w:rFonts w:ascii="Times New Roman" w:hAnsi="Times New Roman" w:eastAsia="Calibri" w:cs="Times New Roman"/>
          <w:b/>
          <w:bCs/>
          <w:spacing w:val="9"/>
          <w:sz w:val="24"/>
          <w:szCs w:val="24"/>
        </w:rPr>
      </w:pPr>
      <w:r>
        <w:rPr>
          <w:rFonts w:ascii="Times New Roman" w:hAnsi="Times New Roman" w:eastAsia="Calibri" w:cs="Times New Roman"/>
          <w:b/>
          <w:bCs/>
          <w:spacing w:val="9"/>
          <w:sz w:val="24"/>
          <w:szCs w:val="24"/>
        </w:rPr>
        <w:t>Abstract</w:t>
      </w:r>
    </w:p>
    <w:p w14:paraId="7A741B98">
      <w:pPr>
        <w:kinsoku/>
        <w:overflowPunct w:val="0"/>
        <w:autoSpaceDE/>
        <w:autoSpaceDN/>
        <w:adjustRightInd w:val="0"/>
        <w:snapToGrid/>
        <w:jc w:val="both"/>
        <w:textAlignment w:val="auto"/>
        <w:rPr>
          <w:rFonts w:hint="eastAsia" w:ascii="Times New Roman" w:hAnsi="Times New Roman" w:eastAsia="Times New Roman" w:cs="Times New Roman"/>
          <w:b w:val="0"/>
          <w:bCs w:val="0"/>
          <w:snapToGrid/>
          <w:color w:val="auto"/>
          <w:sz w:val="20"/>
          <w:szCs w:val="20"/>
          <w:lang w:val="en-US" w:eastAsia="zh-CN"/>
        </w:rPr>
      </w:pPr>
      <w:r>
        <w:rPr>
          <w:rFonts w:hint="eastAsia" w:ascii="Times New Roman" w:hAnsi="Times New Roman" w:eastAsia="Times New Roman" w:cs="Times New Roman"/>
          <w:b w:val="0"/>
          <w:bCs w:val="0"/>
          <w:snapToGrid/>
          <w:color w:val="auto"/>
          <w:sz w:val="20"/>
          <w:szCs w:val="20"/>
          <w:lang w:val="en-US" w:eastAsia="zh-CN"/>
        </w:rPr>
        <w:t>In creative education, a field encompassing art, design, architecture, and related disciplines focused on originality, authorship, and practice-based work, there is a growing adoption of Generative Artificial Intelligence (GenAI). Unlike conventional educational technologies that primarily support skill acquisition or task execution, GenAI autonomously generates creative content, thereby reshaping students</w:t>
      </w:r>
      <w:r>
        <w:rPr>
          <w:rFonts w:hint="default" w:ascii="Times New Roman" w:hAnsi="Times New Roman" w:eastAsia="Times New Roman" w:cs="Times New Roman"/>
          <w:b w:val="0"/>
          <w:bCs w:val="0"/>
          <w:snapToGrid/>
          <w:color w:val="auto"/>
          <w:sz w:val="20"/>
          <w:szCs w:val="20"/>
          <w:lang w:val="en-US" w:eastAsia="zh-CN"/>
        </w:rPr>
        <w:t>’</w:t>
      </w:r>
      <w:r>
        <w:rPr>
          <w:rFonts w:hint="eastAsia" w:ascii="Times New Roman" w:hAnsi="Times New Roman" w:eastAsia="Times New Roman" w:cs="Times New Roman"/>
          <w:b w:val="0"/>
          <w:bCs w:val="0"/>
          <w:snapToGrid/>
          <w:color w:val="auto"/>
          <w:sz w:val="20"/>
          <w:szCs w:val="20"/>
          <w:lang w:val="en-US" w:eastAsia="zh-CN"/>
        </w:rPr>
        <w:t xml:space="preserve"> engagement with ideation, authorship, and creative agency in these learning environments. Following PRISMA-ScR guidelines and an OSF-registered protocol, this scoping review systematically mapped 20 empirical studies identified from Web of Science, Scopus, and IEEE Xplore (2021–2026). Results indicate that GenAI is primarily integrated via visual or multimodal tools within studio-based courses and workshops, with effects varying significantly by disciplinary context and learner experience. While GenAI enhances self-efficacy among novices, it frequently induces career-related anxiety and identity threats among advanced practitioners. Furthermore, current research lacks robust coverage of human–AI collaboration mechanisms, longitudinal developmental trajectories, and unified theoretical frameworks. By synthesizing evidence on applications, psychological impacts, and critical research gaps, this review underscores the necessity for differentiated pedagogies and strengthened institutional frameworks to ensure the responsible integration of GenAI in creative education.</w:t>
      </w:r>
    </w:p>
    <w:p w14:paraId="21D28298">
      <w:pPr>
        <w:kinsoku/>
        <w:overflowPunct w:val="0"/>
        <w:autoSpaceDE/>
        <w:autoSpaceDN/>
        <w:adjustRightInd w:val="0"/>
        <w:snapToGrid/>
        <w:jc w:val="both"/>
        <w:textAlignment w:val="auto"/>
        <w:rPr>
          <w:rFonts w:hint="default" w:ascii="Times New Roman" w:hAnsi="Times New Roman" w:eastAsia="Times New Roman" w:cs="Times New Roman"/>
          <w:snapToGrid/>
          <w:color w:val="auto"/>
          <w:sz w:val="20"/>
          <w:szCs w:val="20"/>
          <w:lang w:val="en-US" w:eastAsia="zh-CN"/>
        </w:rPr>
      </w:pPr>
      <w:r>
        <w:rPr>
          <w:rFonts w:hint="eastAsia" w:ascii="Times New Roman" w:hAnsi="Times New Roman" w:eastAsia="Times New Roman" w:cs="Times New Roman"/>
          <w:b/>
          <w:bCs/>
          <w:snapToGrid/>
          <w:color w:val="auto"/>
          <w:sz w:val="20"/>
          <w:szCs w:val="20"/>
          <w:lang w:val="en-US" w:eastAsia="zh-CN"/>
        </w:rPr>
        <w:t>Key Words</w:t>
      </w:r>
      <w:r>
        <w:rPr>
          <w:rFonts w:hint="eastAsia" w:ascii="Times New Roman" w:hAnsi="Times New Roman" w:eastAsia="Times New Roman" w:cs="Times New Roman"/>
          <w:snapToGrid/>
          <w:color w:val="auto"/>
          <w:sz w:val="20"/>
          <w:szCs w:val="20"/>
          <w:lang w:val="en-US" w:eastAsia="zh-CN"/>
        </w:rPr>
        <w:t>: Generative AI, Creative Education, Psychological Impact, Scoping Review, Self-efficacy, Design Pedagogy</w:t>
      </w:r>
    </w:p>
    <w:p w14:paraId="382A7969">
      <w:pPr>
        <w:snapToGrid/>
        <w:spacing w:before="122" w:line="480" w:lineRule="auto"/>
        <w:contextualSpacing/>
        <w:jc w:val="both"/>
        <w:outlineLvl w:val="1"/>
        <w:rPr>
          <w:rFonts w:hint="eastAsia" w:ascii="Times New Roman" w:hAnsi="Times New Roman" w:eastAsia="宋体" w:cs="Times New Roman"/>
          <w:b/>
          <w:bCs/>
          <w:spacing w:val="9"/>
          <w:sz w:val="24"/>
          <w:szCs w:val="24"/>
          <w:lang w:val="en-US" w:eastAsia="zh-CN"/>
        </w:rPr>
      </w:pPr>
    </w:p>
    <w:p w14:paraId="115AF9FD">
      <w:pPr>
        <w:snapToGrid/>
        <w:spacing w:before="122" w:line="480" w:lineRule="auto"/>
        <w:contextualSpacing/>
        <w:jc w:val="both"/>
        <w:outlineLvl w:val="1"/>
        <w:rPr>
          <w:rFonts w:hint="eastAsia" w:ascii="Times New Roman" w:hAnsi="Times New Roman" w:eastAsia="宋体" w:cs="Times New Roman"/>
          <w:b/>
          <w:bCs/>
          <w:spacing w:val="9"/>
          <w:sz w:val="24"/>
          <w:szCs w:val="24"/>
          <w:lang w:val="en-US" w:eastAsia="zh-CN"/>
        </w:rPr>
      </w:pPr>
      <w:r>
        <w:rPr>
          <w:rFonts w:hint="eastAsia" w:ascii="Times New Roman" w:hAnsi="Times New Roman" w:eastAsia="Times New Roman" w:cs="Times New Roman"/>
          <w:b/>
          <w:bCs/>
          <w:snapToGrid/>
          <w:color w:val="auto"/>
          <w:sz w:val="24"/>
          <w:szCs w:val="24"/>
          <w:lang w:val="en-US" w:eastAsia="zh-CN"/>
        </w:rPr>
        <w:t>Introduction</w:t>
      </w:r>
    </w:p>
    <w:p w14:paraId="0BED9294">
      <w:pPr>
        <w:kinsoku/>
        <w:adjustRightInd/>
        <w:snapToGrid/>
        <w:jc w:val="both"/>
        <w:textAlignment w:val="auto"/>
        <w:outlineLvl w:val="1"/>
        <w:rPr>
          <w:rFonts w:hint="eastAsia" w:ascii="Times New Roman" w:hAnsi="Times New Roman" w:eastAsia="宋体" w:cs="Times New Roman"/>
          <w:snapToGrid/>
          <w:color w:val="auto"/>
          <w:sz w:val="20"/>
          <w:szCs w:val="20"/>
          <w:lang w:val="zh-CN" w:eastAsia="zh-CN"/>
        </w:rPr>
      </w:pPr>
      <w:r>
        <w:rPr>
          <w:rFonts w:hint="eastAsia" w:ascii="Times New Roman" w:hAnsi="Times New Roman" w:eastAsia="宋体" w:cs="Times New Roman"/>
          <w:snapToGrid/>
          <w:color w:val="auto"/>
          <w:sz w:val="20"/>
          <w:szCs w:val="20"/>
          <w:lang w:val="zh-CN" w:eastAsia="zh-CN"/>
        </w:rPr>
        <w:t>In</w:t>
      </w:r>
      <w:r>
        <w:rPr>
          <w:rFonts w:hint="eastAsia" w:ascii="Times New Roman" w:hAnsi="Times New Roman" w:eastAsia="宋体" w:cs="Times New Roman"/>
          <w:snapToGrid/>
          <w:color w:val="auto"/>
          <w:sz w:val="20"/>
          <w:szCs w:val="20"/>
          <w:lang w:val="en-US" w:eastAsia="zh-CN"/>
        </w:rPr>
        <w:t xml:space="preserve"> </w:t>
      </w:r>
      <w:r>
        <w:rPr>
          <w:rFonts w:hint="eastAsia" w:ascii="Times New Roman" w:hAnsi="Times New Roman" w:eastAsia="宋体" w:cs="Times New Roman"/>
          <w:snapToGrid/>
          <w:color w:val="auto"/>
          <w:sz w:val="20"/>
          <w:szCs w:val="20"/>
          <w:lang w:val="zh-CN" w:eastAsia="zh-CN"/>
        </w:rPr>
        <w:t>creative education, generative artificial intelligence (GenAI) is transforming how students learn and create by shifting effort from technical execution to ideation and iteration</w:t>
      </w:r>
      <w:r>
        <w:rPr>
          <w:rFonts w:hint="eastAsia" w:ascii="Times New Roman" w:hAnsi="Times New Roman" w:eastAsia="宋体" w:cs="Times New Roman"/>
          <w:snapToGrid/>
          <w:color w:val="auto"/>
          <w:sz w:val="20"/>
          <w:szCs w:val="20"/>
          <w:lang w:val="en-US" w:eastAsia="zh-CN"/>
        </w:rPr>
        <w:t xml:space="preserve">, which </w:t>
      </w:r>
      <w:r>
        <w:rPr>
          <w:rFonts w:hint="eastAsia" w:ascii="Times New Roman" w:hAnsi="Times New Roman" w:eastAsia="宋体" w:cs="Times New Roman"/>
          <w:snapToGrid/>
          <w:color w:val="auto"/>
          <w:sz w:val="20"/>
          <w:szCs w:val="20"/>
          <w:lang w:val="zh-CN" w:eastAsia="zh-CN"/>
        </w:rPr>
        <w:t>enabling professional-grade designs from simple textual prompts instead of complex tool-specific workflows</w:t>
      </w:r>
      <w:r>
        <w:rPr>
          <w:rFonts w:hint="eastAsia" w:ascii="Times New Roman" w:hAnsi="Times New Roman" w:eastAsia="宋体" w:cs="Times New Roman"/>
          <w:snapToGrid/>
          <w:color w:val="auto"/>
          <w:sz w:val="20"/>
          <w:szCs w:val="20"/>
          <w:lang w:val="zh-CN" w:eastAsia="zh-CN"/>
        </w:rPr>
        <w:fldChar w:fldCharType="begin"/>
      </w:r>
      <w:r>
        <w:rPr>
          <w:rFonts w:hint="eastAsia" w:ascii="Times New Roman" w:hAnsi="Times New Roman" w:eastAsia="宋体" w:cs="Times New Roman"/>
          <w:snapToGrid/>
          <w:color w:val="auto"/>
          <w:sz w:val="20"/>
          <w:szCs w:val="20"/>
          <w:lang w:val="zh-CN" w:eastAsia="zh-CN"/>
        </w:rPr>
        <w:instrText xml:space="preserve"> ADDIN ZOTERO_ITEM CSL_CITATION {"citationID":"Pb6ohjCP","properties":{"unsorted":true,"formattedCitation":"&lt;sup&gt;1,2&lt;/sup&gt;","plainCitation":"1,2","noteIndex":0},"citationItems":[{"id":1147,"uris":["http://zotero.org/groups/6329368/items/J7JHXBM9"],"itemData":{"id":1147,"type":"article-journal","abstract":"Introduction\n              This study investigated the role of generative Artificial Intelligence (AI) in enhancing the creative cognition of design students, examining the mediating effects of self-efficacy and anxiety reduction.\n            \n            \n              Methods\n              A quantitative approach was employed, collecting data through online surveys from 121 design students at universities in southern China. The study utilized scales for AI knowledge and perception, self-efficacy, anxiety, and creative cognition, adapted from previous studies and evaluated on 5-point Likert scales. Data analysis was conducted using SPSS 24.0 for exploratory factor analysis and PROCESS v3.5 for mediation analysis.\n            \n            \n              Results\n              \n                The findings confirmed that AI positively impacted students’ innovative thinking (*\n                β\n                * = 0.610, *\n                p\n                * &amp;lt; 0.001). Self-efficacy (standardized *\n                β\n                * = 0.256, 95% CI [0.140, 0.418], *\n                p\n                * &amp;lt; 0.001) and anxiety reduction (standardized *\n                β\n                * = 0.093, 95% CI [0.018, 0.195], *\n                p\n                * &amp;lt; 0.05) positively mediated the relationship between generative AI and creative cognition. Additionally, a serial mediation effect through self-efficacy and anxiety reduction was observed (standardized *\n                β\n                * = 0.053, 95% CI [0.012, 0.114], *\n                p\n                * &amp;lt; 0.05).\n              \n            \n            \n              Discussion\n              Our empirical analysis demonstrates that AI positively affects design students’ innovative thinking, with self-efficacy and anxiety reduction serving as significant mediators. These findings provide valuable insights for educators and policymakers, suggesting that AI-integrated design curricula can significantly foster creative cognition, promote academic achievement, and enhance designer capabilities. Understanding AI’s impact on students’ creative processes is crucial for developing effective teaching strategies in today’s evolving educational landscape.","container-title":"Frontiers in Psychology","DOI":"10.3389/fpsyg.2024.1455015","ISSN":"1664-1078","journalAbbreviation":"Front. Psychol.","language":"en","page":"1455015","source":"DOI.org (Crossref)","title":"The influence of generative artificial intelligence on creative cognition of design students: a chain mediation model of self-efficacy and anxiety","title-short":"The influence of generative artificial intelligence on creative cognition of design students","volume":"15","author":[{"family":"Hwang","given":"Younjung"},{"family":"Wu","given":"Yi"}],"issued":{"date-parts":[["2025",1,27]]}},"label":"page"},{"id":1212,"uris":["http://zotero.org/groups/6329368/items/GSPV7XSC"],"itemData":{"id":1212,"type":"article-journal","abstract":"As digital technologies evolve, traditional teaching methods in design and art education are increasingly insufficient to meet students’ learning needs. While Generative Artificial Intelligence (GenAI) has introduced transformative applications in education, its impact on design and art curricula remains underexplored. To address this gap, this study employed a quasi-experimental design with 64 first-year undergraduate students to examine the effects of GenAI in a design and art course. Participants were divided into an experimental group, using a learning system integrated with a ChatGPT-driven pedagogical agent, and a control group, receiving traditional multimedia instruction. Learning achievement, motivation, and self-efficacy were assessed through validated scales and questionnaires. Results showed that the ChatGPT-driven system provided personalised responses and immediate feedback, significantly enhancing student achievement, motivation, and self-efficacy. These findings underscore the feasibility of integrating GenAI into design and art education and offer valuable insights for educators and curriculum developers.","container-title":"Innovations in Education and Teaching International","DOI":"10.1080/14703297.2025.2503857","ISSN":"1470-3297","issue":"5","note":"_eprint: https://doi.org/10.1080/14703297.2025.2503857","page":"1431-1446","publisher":"Routledge","source":"Taylor and Francis+NEJM","title":"Integrating generative artificial intelligence into design and art course: Effects on student achievement, motivation, and self-efficacy","title-short":"Integrating generative artificial intelligence into design and art course","volume":"62","author":[{"family":"Chen","given":"Jing"},{"family":"Mokmin","given":"Nur Azlina Mohamed"},{"family":"Su","given":"HanJun"}],"issued":{"date-parts":[["2025",9,3]]}},"label":"page","suppress-author":true}],"schema":"https://github.com/citation-style-language/schema/raw/master/csl-citation.json"} </w:instrText>
      </w:r>
      <w:r>
        <w:rPr>
          <w:rFonts w:hint="eastAsia" w:ascii="Times New Roman" w:hAnsi="Times New Roman" w:eastAsia="宋体" w:cs="Times New Roman"/>
          <w:snapToGrid/>
          <w:color w:val="auto"/>
          <w:sz w:val="20"/>
          <w:szCs w:val="20"/>
          <w:lang w:val="zh-CN" w:eastAsia="zh-CN"/>
        </w:rPr>
        <w:fldChar w:fldCharType="separate"/>
      </w:r>
      <w:r>
        <w:rPr>
          <w:rFonts w:hint="eastAsia" w:ascii="Times New Roman" w:hAnsi="Times New Roman" w:eastAsia="宋体" w:cs="Times New Roman"/>
          <w:snapToGrid/>
          <w:color w:val="auto"/>
          <w:sz w:val="20"/>
          <w:szCs w:val="20"/>
          <w:vertAlign w:val="superscript"/>
          <w:lang w:val="zh-CN" w:eastAsia="zh-CN"/>
        </w:rPr>
        <w:t>1,2</w:t>
      </w:r>
      <w:r>
        <w:rPr>
          <w:rFonts w:hint="eastAsia" w:ascii="Times New Roman" w:hAnsi="Times New Roman" w:eastAsia="宋体" w:cs="Times New Roman"/>
          <w:snapToGrid/>
          <w:color w:val="auto"/>
          <w:sz w:val="20"/>
          <w:szCs w:val="20"/>
          <w:lang w:val="zh-CN" w:eastAsia="zh-CN"/>
        </w:rPr>
        <w:fldChar w:fldCharType="end"/>
      </w:r>
      <w:r>
        <w:rPr>
          <w:rFonts w:hint="eastAsia" w:ascii="Times New Roman" w:hAnsi="Times New Roman" w:eastAsia="宋体" w:cs="Times New Roman"/>
          <w:snapToGrid/>
          <w:color w:val="auto"/>
          <w:sz w:val="20"/>
          <w:szCs w:val="20"/>
          <w:lang w:val="zh-CN" w:eastAsia="zh-CN"/>
        </w:rPr>
        <w:t>. Unlike traditional design software that assists human creators, GenAI systems autonomously generate original content, fundamentally altering the creative process. This technological shift has rapidly transformed creative education, from intensive design workshops to regular studio classes</w:t>
      </w:r>
      <w:r>
        <w:rPr>
          <w:rFonts w:hint="eastAsia" w:ascii="Times New Roman" w:hAnsi="Times New Roman" w:eastAsia="宋体" w:cs="Times New Roman"/>
          <w:snapToGrid/>
          <w:color w:val="auto"/>
          <w:sz w:val="20"/>
          <w:szCs w:val="20"/>
          <w:lang w:val="zh-CN" w:eastAsia="zh-CN"/>
        </w:rPr>
        <w:fldChar w:fldCharType="begin"/>
      </w:r>
      <w:r>
        <w:rPr>
          <w:rFonts w:hint="eastAsia" w:ascii="Times New Roman" w:hAnsi="Times New Roman" w:eastAsia="宋体" w:cs="Times New Roman"/>
          <w:snapToGrid/>
          <w:color w:val="auto"/>
          <w:sz w:val="20"/>
          <w:szCs w:val="20"/>
          <w:lang w:val="zh-CN" w:eastAsia="zh-CN"/>
        </w:rPr>
        <w:instrText xml:space="preserve"> ADDIN ZOTERO_ITEM CSL_CITATION {"citationID":"a2h14u1v1t2","properties":{"formattedCitation":"&lt;sup&gt;3&lt;/sup&gt;","plainCitation":"3","noteIndex":0},"citationItems":[{"id":851,"uris":["http://zotero.org/groups/6329368/items/JWYV3EHX"],"itemData":{"id":851,"type":"paper-conference","abstract":"The Sustainable Development Goals are currently the universal missions for all fields of engineering and design. However, many design problems in sustainable development are profoundly complex and nearly reach the limits of human capacity. This design challenge often involves a vast volume of data in social, economic, technological, and environmental factors. In response to this challenge, industrial and academic communities have devoted a large amount of effort in developing newtechnologies like artificial intelligence and applying them as new design tools. Generative AI is the latest advancement among these tools which can empower human designers with its capability to process massive data from diverse sources and recast them in a comprehensible form.\nDespite the heated discussion on the relationship between creative innovation and frontier technologies, little attention was focused on empowering the next generation of designers with the new skills in the AI era. This study hence conducted a two-week design workshop to explore the interactions between generative AI tools and novice designers.","archive_location":"WOS:001283866900005","container-title":"Xi'an Jiaotong University","DOI":"10.1007/978-3-031-60441-6_5","event-title":"HUMAN-COMPUTER INTERACTION, PT IV, HCI 2024","ISBN":"0302-9743","language":"English","page":"59-78","title":"Generative AI for Sustainable Design: A Case Study in Design Education Practices","volume":"14687","author":[{"family":"Li","given":"M"},{"family":"Li","given":"YN"},{"family":"He","given":"CY"},{"family":"Wang","given":"HX"},{"family":"Zhong","given":"JQ"},{"family":"Jiang","given":"SX"},{"family":"He","given":"MT"},{"family":"Qiao","given":"ZN"},{"family":"Chen","given":"JW"},{"family":"Yin","given":"Y"},{"family":"Lc","given":"R"},{"family":"Han","given":"J"},{"family":"Yang","given":"ZY"},{"family":"Shidujaman","given":"M"}],"editor":[{"family":"Kurosu","given":"M"},{"family":"Hashizume","given":"A"}],"issued":{"date-parts":[["2024"]]}}}],"schema":"https://github.com/citation-style-language/schema/raw/master/csl-citation.json"} </w:instrText>
      </w:r>
      <w:r>
        <w:rPr>
          <w:rFonts w:hint="eastAsia" w:ascii="Times New Roman" w:hAnsi="Times New Roman" w:eastAsia="宋体" w:cs="Times New Roman"/>
          <w:snapToGrid/>
          <w:color w:val="auto"/>
          <w:sz w:val="20"/>
          <w:szCs w:val="20"/>
          <w:lang w:val="zh-CN" w:eastAsia="zh-CN"/>
        </w:rPr>
        <w:fldChar w:fldCharType="separate"/>
      </w:r>
      <w:r>
        <w:rPr>
          <w:rFonts w:hint="eastAsia" w:ascii="Times New Roman" w:hAnsi="Times New Roman" w:eastAsia="宋体" w:cs="Times New Roman"/>
          <w:snapToGrid/>
          <w:color w:val="auto"/>
          <w:sz w:val="20"/>
          <w:szCs w:val="20"/>
          <w:vertAlign w:val="superscript"/>
          <w:lang w:val="zh-CN" w:eastAsia="zh-CN"/>
        </w:rPr>
        <w:t>3</w:t>
      </w:r>
      <w:r>
        <w:rPr>
          <w:rFonts w:hint="eastAsia" w:ascii="Times New Roman" w:hAnsi="Times New Roman" w:eastAsia="宋体" w:cs="Times New Roman"/>
          <w:snapToGrid/>
          <w:color w:val="auto"/>
          <w:sz w:val="20"/>
          <w:szCs w:val="20"/>
          <w:lang w:val="zh-CN" w:eastAsia="zh-CN"/>
        </w:rPr>
        <w:fldChar w:fldCharType="end"/>
      </w:r>
      <w:r>
        <w:rPr>
          <w:rFonts w:hint="eastAsia" w:ascii="Times New Roman" w:hAnsi="Times New Roman" w:eastAsia="宋体" w:cs="Times New Roman"/>
          <w:snapToGrid/>
          <w:color w:val="auto"/>
          <w:sz w:val="20"/>
          <w:szCs w:val="20"/>
          <w:lang w:val="zh-CN" w:eastAsia="zh-CN"/>
        </w:rPr>
        <w:t>.</w:t>
      </w:r>
    </w:p>
    <w:p w14:paraId="513312F3">
      <w:pPr>
        <w:pStyle w:val="6"/>
        <w:keepNext w:val="0"/>
        <w:keepLines w:val="0"/>
        <w:pageBreakBefore w:val="0"/>
        <w:widowControl/>
        <w:kinsoku w:val="0"/>
        <w:wordWrap/>
        <w:overflowPunct/>
        <w:topLinePunct w:val="0"/>
        <w:autoSpaceDE w:val="0"/>
        <w:autoSpaceDN w:val="0"/>
        <w:bidi w:val="0"/>
        <w:adjustRightInd w:val="0"/>
        <w:snapToGrid/>
        <w:spacing w:before="55" w:line="240" w:lineRule="auto"/>
        <w:ind w:firstLine="400" w:firstLineChars="200"/>
        <w:contextualSpacing/>
        <w:jc w:val="both"/>
        <w:textAlignment w:val="baseline"/>
        <w:outlineLvl w:val="2"/>
        <w:rPr>
          <w:rFonts w:hint="eastAsia" w:ascii="Times New Roman" w:hAnsi="Times New Roman" w:eastAsia="宋体" w:cs="Times New Roman"/>
          <w:snapToGrid/>
          <w:color w:val="auto"/>
          <w:sz w:val="20"/>
          <w:szCs w:val="20"/>
          <w:lang w:val="zh-CN" w:eastAsia="zh-CN" w:bidi="ar-SA"/>
        </w:rPr>
      </w:pPr>
      <w:r>
        <w:rPr>
          <w:rFonts w:hint="eastAsia" w:ascii="Times New Roman" w:hAnsi="Times New Roman" w:eastAsia="宋体" w:cs="Times New Roman"/>
          <w:snapToGrid/>
          <w:color w:val="auto"/>
          <w:sz w:val="20"/>
          <w:szCs w:val="20"/>
          <w:lang w:val="zh-CN" w:eastAsia="zh-CN" w:bidi="ar-SA"/>
        </w:rPr>
        <w:t>Traditional educational technology research, focused on usability and cognitive factors, fails to address GenAI</w:t>
      </w:r>
      <w:r>
        <w:rPr>
          <w:rFonts w:hint="default" w:ascii="Times New Roman" w:hAnsi="Times New Roman" w:eastAsia="宋体" w:cs="Times New Roman"/>
          <w:snapToGrid/>
          <w:color w:val="auto"/>
          <w:sz w:val="20"/>
          <w:szCs w:val="20"/>
          <w:lang w:val="en-US" w:eastAsia="zh-CN" w:bidi="ar-SA"/>
        </w:rPr>
        <w:t>’</w:t>
      </w:r>
      <w:r>
        <w:rPr>
          <w:rFonts w:hint="eastAsia" w:ascii="Times New Roman" w:hAnsi="Times New Roman" w:eastAsia="宋体" w:cs="Times New Roman"/>
          <w:snapToGrid/>
          <w:color w:val="auto"/>
          <w:sz w:val="20"/>
          <w:szCs w:val="20"/>
          <w:lang w:val="zh-CN" w:eastAsia="zh-CN" w:bidi="ar-SA"/>
        </w:rPr>
        <w:t>s distinctive impact</w:t>
      </w:r>
      <w:r>
        <w:rPr>
          <w:rFonts w:hint="eastAsia" w:ascii="Times New Roman" w:hAnsi="Times New Roman" w:eastAsia="宋体" w:cs="Times New Roman"/>
          <w:snapToGrid/>
          <w:color w:val="auto"/>
          <w:sz w:val="20"/>
          <w:szCs w:val="20"/>
          <w:lang w:val="zh-CN" w:eastAsia="zh-CN" w:bidi="ar-SA"/>
        </w:rPr>
        <w:fldChar w:fldCharType="begin"/>
      </w:r>
      <w:r>
        <w:rPr>
          <w:rFonts w:hint="eastAsia" w:ascii="Times New Roman" w:hAnsi="Times New Roman" w:eastAsia="宋体" w:cs="Times New Roman"/>
          <w:snapToGrid/>
          <w:color w:val="auto"/>
          <w:sz w:val="20"/>
          <w:szCs w:val="20"/>
          <w:lang w:val="zh-CN" w:eastAsia="zh-CN" w:bidi="ar-SA"/>
        </w:rPr>
        <w:instrText xml:space="preserve"> ADDIN ZOTERO_ITEM CSL_CITATION {"citationID":"a1mf539tf3n","properties":{"formattedCitation":"&lt;sup&gt;4&lt;/sup&gt;","plainCitation":"4","noteIndex":0},"citationItems":[{"id":1242,"uris":["http://zotero.org/groups/6329368/items/9DNV7K4D"],"itemData":{"id":1242,"type":"article-journal","abstract":"The transformative impact of generative artificial intelligence (GenAI) on educational environments has led higher education institutions to make radical changes in their curricula and teaching approaches. By integrating GenAI technologies into the educational process, students will be able to have rich learning experiences. However, students' perceptions of GenAI technologies significantly affect their acceptance and anxiety towards GenAI. Students' effective use of self-regulation skills will help them manage their acceptance and anxiety towards GenAI. This study aims to examine the relationship between students' GenAI acceptance, anxiety, and self-regulation. The study used a mixed research method. Data were collected from 66 students attending an undergraduate course. Quantitative findings were presented by analyzing data from 40 students and qualitative findings were presented by analyzing data from 51 students. Data were collected using the GenAI Acceptance Scale, AI Anxiety Scale, Online Self-Regulation Scale, and interview form. Pearson correlation analysis was performed for quantitative data, and content analysis was performed for qualitative data. The research findings show that the relationship between students' GenAI acceptance and self-regulation is significant and positive. The relationship between GenAI anxiety and GenAI acceptance and self-regulation is significant and negative. According to the qualitative data results, students stated that GenAI provides real-time support and facilitates of self-learning. Additionally, students stated that GenAI hindered their creativity and reduced their effectiveness in the learning process. Students stated that higher education institutions should improve their policies and curricula by taking into account the possible benefits, risks, and challenges.","container-title":"International Journal of Technology in Education","DOI":"10.46328/ijte.1065","ISSN":"2689-2758","issue":"2","language":"en","license":"Copyright (c) 2025 International Journal of Technology in Education","page":"445-466","source":"ijte.net","title":"Examining the Relationship between Undergraduate Students' Acceptance, Anxiety and Online Self-Regulation of Generative Artificial Intelligence","volume":"8","author":[{"family":"Karal","given":"Yasemin"},{"family":"Sarialioglu","given":"Rabia Ozdemir"}],"issued":{"date-parts":[["2025",4,30]]}}}],"schema":"https://github.com/citation-style-language/schema/raw/master/csl-citation.json"} </w:instrText>
      </w:r>
      <w:r>
        <w:rPr>
          <w:rFonts w:hint="eastAsia" w:ascii="Times New Roman" w:hAnsi="Times New Roman" w:eastAsia="宋体" w:cs="Times New Roman"/>
          <w:snapToGrid/>
          <w:color w:val="auto"/>
          <w:sz w:val="20"/>
          <w:szCs w:val="20"/>
          <w:lang w:val="zh-CN" w:eastAsia="zh-CN" w:bidi="ar-SA"/>
        </w:rPr>
        <w:fldChar w:fldCharType="separate"/>
      </w:r>
      <w:r>
        <w:rPr>
          <w:rFonts w:hint="eastAsia" w:ascii="Times New Roman" w:hAnsi="Times New Roman" w:eastAsia="宋体" w:cs="Times New Roman"/>
          <w:snapToGrid/>
          <w:color w:val="auto"/>
          <w:sz w:val="20"/>
          <w:szCs w:val="20"/>
          <w:vertAlign w:val="superscript"/>
          <w:lang w:val="zh-CN" w:eastAsia="zh-CN" w:bidi="ar-SA"/>
        </w:rPr>
        <w:t>4</w:t>
      </w:r>
      <w:r>
        <w:rPr>
          <w:rFonts w:hint="eastAsia" w:ascii="Times New Roman" w:hAnsi="Times New Roman" w:eastAsia="宋体" w:cs="Times New Roman"/>
          <w:snapToGrid/>
          <w:color w:val="auto"/>
          <w:sz w:val="20"/>
          <w:szCs w:val="20"/>
          <w:lang w:val="zh-CN" w:eastAsia="zh-CN" w:bidi="ar-SA"/>
        </w:rPr>
        <w:fldChar w:fldCharType="end"/>
      </w:r>
      <w:r>
        <w:rPr>
          <w:rFonts w:hint="eastAsia" w:ascii="Times New Roman" w:hAnsi="Times New Roman" w:eastAsia="宋体" w:cs="Times New Roman"/>
          <w:snapToGrid/>
          <w:color w:val="auto"/>
          <w:sz w:val="20"/>
          <w:szCs w:val="20"/>
          <w:lang w:val="zh-CN" w:eastAsia="zh-CN" w:bidi="ar-SA"/>
        </w:rPr>
        <w:t>. By shifting students from pure creators to evaluators and curators of AI-generated content, GenAI transforms the fundamental nature of creative agency and professional identity</w:t>
      </w:r>
      <w:r>
        <w:rPr>
          <w:rFonts w:hint="eastAsia" w:ascii="Times New Roman" w:hAnsi="Times New Roman" w:eastAsia="宋体" w:cs="Times New Roman"/>
          <w:snapToGrid/>
          <w:color w:val="auto"/>
          <w:sz w:val="20"/>
          <w:szCs w:val="20"/>
          <w:lang w:val="zh-CN" w:eastAsia="zh-CN" w:bidi="ar-SA"/>
        </w:rPr>
        <w:fldChar w:fldCharType="begin"/>
      </w:r>
      <w:r>
        <w:rPr>
          <w:rFonts w:hint="eastAsia" w:ascii="Times New Roman" w:hAnsi="Times New Roman" w:eastAsia="宋体" w:cs="Times New Roman"/>
          <w:snapToGrid/>
          <w:color w:val="auto"/>
          <w:sz w:val="20"/>
          <w:szCs w:val="20"/>
          <w:lang w:val="zh-CN" w:eastAsia="zh-CN" w:bidi="ar-SA"/>
        </w:rPr>
        <w:instrText xml:space="preserve"> ADDIN ZOTERO_ITEM CSL_CITATION {"citationID":"a1oee673mpn","properties":{"formattedCitation":"&lt;sup&gt;5,6&lt;/sup&gt;","plainCitation":"5,6","noteIndex":0},"citationItems":[{"id":1095,"uris":["http://zotero.org/groups/6329368/items/QUPACLV9"],"itemData":{"id":1095,"type":"article-journal","abstract":"This study investigated technostress among university students in technology-enhanced learning (TEL) from a multidimensional person-environment misfit perspective: technostress on the dimensions of person-organization (P–O) misfit, person-TEL (P-TEL) misfit, and person-people (P–O) misfit, respectively. A research model was created to examine how the three dimensions of technostress were related to one another and how they predicted students' burnout, persistence in TEL, and perceived performance. It was validated by 740 university students from two public universities in China. The findings show that P–O misfit of technostress strongly predicted technostress on both P-TEL misfit and P–P misfit dimensions. P–P misfit of technostress predicted P-TEL misfit of technostress. The three dimensions of technostress were positively associated with students' burnout, which negatively affected their perceived performance in TEL. Moreover, P–O misfit of technostress demonstrated the most salient effect on students' burnout. Additionally, group comparisons based on gender and grade levels indicate that females and lower-grade students were more susceptible to burnout associated with P–P misfit of technostress than others. And female students' performance tended to be more negatively affected by burnout than males. This study has important implications for disentangling factors affecting students’ wellbeing and academic success in TEL and developing effective solutions to technostress.","container-title":"Computers in Human Behavior","DOI":"10.1016/j.chb.2019.106208","ISSN":"0747-5632","journalAbbreviation":"Computers in Human Behavior","page":"106208","source":"ScienceDirect","title":"Technostress in university students’ technology-enhanced learning: An investigation from multidimensional person-environment misfit","title-short":"Technostress in university students’ technology-enhanced learning","volume":"105","author":[{"family":"Wang","given":"Xinghua"},{"family":"Tan","given":"Seng Chee"},{"family":"Li","given":"Lu"}],"issued":{"date-parts":[["2020",4,1]]}},"label":"page"},{"id":1204,"uris":["http://zotero.org/groups/6329368/items/EKJEHWJI"],"itemData":{"id":1204,"type":"article-journal","abstract":"The increasing use of Generative AI raises many ethical, philosophical, and legal issues. A key issue here is uncertainties about how different degrees of Generative AI assistance in the production of text impacts assessments of the human authorship of that text. To explore this issue, we developed an experimental mixed methods survey study (N = 602) asking participants to reflect on a scenario of a human author receiving assistance to write a short novel as part of a 3 (high, medium, or low degrees of assistance) X 2 (human or AI assistant) factorial design. We found that, for a human author, the degree of assistance they receive matters for our assessments of their level of authorship, creatorship, and responsibility, but not what or who rendered that assistance, although it was more important to disclose human rather than AI assistance. However, in our assessments of the assisting agent, human assistants were viewed as warranting higher rates of authorship, creatorship, and responsibility, compared to AI assistants rendering the same level of support. These results help us to better understand emerging norms around collaborative human-AI generated text, with implications for other types of collaborative content creation.","container-title":"AI &amp; SOCIETY","DOI":"10.1007/s00146-024-02081-0","ISSN":"1435-5655","issue":"5","journalAbbreviation":"AI &amp; Soc","language":"en","page":"3405-3417","source":"Springer Link","title":"Can ChatGPT be an author? Generative AI creative writing assistance and perceptions of authorship, creatorship, responsibility, and disclosure","title-short":"Can ChatGPT be an author?","volume":"40","author":[{"family":"Formosa","given":"Paul"},{"family":"Bankins","given":"Sarah"},{"family":"Matulionyte","given":"Rita"},{"family":"Ghasemi","given":"Omid"}],"issued":{"date-parts":[["2025",6,1]]}},"label":"page"}],"schema":"https://github.com/citation-style-language/schema/raw/master/csl-citation.json"} </w:instrText>
      </w:r>
      <w:r>
        <w:rPr>
          <w:rFonts w:hint="eastAsia" w:ascii="Times New Roman" w:hAnsi="Times New Roman" w:eastAsia="宋体" w:cs="Times New Roman"/>
          <w:snapToGrid/>
          <w:color w:val="auto"/>
          <w:sz w:val="20"/>
          <w:szCs w:val="20"/>
          <w:lang w:val="zh-CN" w:eastAsia="zh-CN" w:bidi="ar-SA"/>
        </w:rPr>
        <w:fldChar w:fldCharType="separate"/>
      </w:r>
      <w:r>
        <w:rPr>
          <w:rFonts w:hint="eastAsia" w:ascii="Times New Roman" w:hAnsi="Times New Roman" w:eastAsia="宋体" w:cs="Times New Roman"/>
          <w:snapToGrid/>
          <w:color w:val="auto"/>
          <w:sz w:val="20"/>
          <w:szCs w:val="20"/>
          <w:vertAlign w:val="superscript"/>
          <w:lang w:val="zh-CN" w:eastAsia="zh-CN" w:bidi="ar-SA"/>
        </w:rPr>
        <w:t>5,6</w:t>
      </w:r>
      <w:r>
        <w:rPr>
          <w:rFonts w:hint="eastAsia" w:ascii="Times New Roman" w:hAnsi="Times New Roman" w:eastAsia="宋体" w:cs="Times New Roman"/>
          <w:snapToGrid/>
          <w:color w:val="auto"/>
          <w:sz w:val="20"/>
          <w:szCs w:val="20"/>
          <w:lang w:val="zh-CN" w:eastAsia="zh-CN" w:bidi="ar-SA"/>
        </w:rPr>
        <w:fldChar w:fldCharType="end"/>
      </w:r>
      <w:r>
        <w:rPr>
          <w:rFonts w:hint="eastAsia" w:ascii="Times New Roman" w:hAnsi="Times New Roman" w:eastAsia="宋体" w:cs="Times New Roman"/>
          <w:snapToGrid/>
          <w:color w:val="auto"/>
          <w:sz w:val="20"/>
          <w:szCs w:val="20"/>
          <w:lang w:val="zh-CN" w:eastAsia="zh-CN" w:bidi="ar-SA"/>
        </w:rPr>
        <w:t>. This redefinition raises critical questions about authorship, creative ownership, and skill value that extend beyond conventional tool mastery concerns</w:t>
      </w:r>
      <w:r>
        <w:rPr>
          <w:rFonts w:hint="eastAsia" w:ascii="Times New Roman" w:hAnsi="Times New Roman" w:eastAsia="宋体" w:cs="Times New Roman"/>
          <w:snapToGrid/>
          <w:color w:val="auto"/>
          <w:sz w:val="20"/>
          <w:szCs w:val="20"/>
          <w:lang w:val="zh-CN" w:eastAsia="zh-CN" w:bidi="ar-SA"/>
        </w:rPr>
        <w:fldChar w:fldCharType="begin"/>
      </w:r>
      <w:r>
        <w:rPr>
          <w:rFonts w:hint="eastAsia" w:ascii="Times New Roman" w:hAnsi="Times New Roman" w:eastAsia="宋体" w:cs="Times New Roman"/>
          <w:snapToGrid/>
          <w:color w:val="auto"/>
          <w:sz w:val="20"/>
          <w:szCs w:val="20"/>
          <w:lang w:val="zh-CN" w:eastAsia="zh-CN" w:bidi="ar-SA"/>
        </w:rPr>
        <w:instrText xml:space="preserve"> ADDIN ZOTERO_ITEM CSL_CITATION {"citationID":"ahal6e6b9i","properties":{"formattedCitation":"&lt;sup&gt;7,8&lt;/sup&gt;","plainCitation":"7,8","noteIndex":0},"citationItems":[{"id":1086,"uris":["http://zotero.org/groups/6329368/items/M5LSEEMN"],"itemData":{"id":1086,"type":"article-journal","abstract":"Generative Artificial Intelligence (GenAI) is fundamentally transforming notions of creativity and creative production across disciplines, yet a comprehensive understanding of professional attitudes and integration patterns remains challenging. This scoping review examines how creative professionals perceive and integrate GenAI technologies across four domains: visual art and design, writing and literature, performing arts, and environmental and spatial design. Following PRISMA-ScR guidelines, we analysed 57 papers (2022–2025) from multiple databases, focusing mainly on empirically based studies of professional creative practice. We identify universal trends, including the shift from creation to curation and meta-creation, the emergence of new literacies (prompt engineering, AI evaluation), and the reconfiguration of expertise hierarchies. Career stage emerges as a critical factor: across domains, entry-level professionals demonstrate enthusiasm and view GenAI as a natural extension of digital tools, while senior practitioners express scepticism about expertise devaluation. All fields consistently position GenAI in early-stage conceptualisation rather than final production, developing hybrid methodologies that preserve human judgment in convergent creative phases. However, impacts manifest differently based on each field/ sub-field’s relationship to embodiment and materiality. Integration levels follow an inverse relationship with traditional notions of “pure” creativity—fields prioritising embodied practice and cultural authenticity (fine arts, literary fiction, classical music) show the most significant resistance. At the same time, commercially oriented domains embrace higher adoption for efficiency gains. Visual artists face “erasure by obscurity” from AI output volume; writers negotiate between nonlinear, associative language generation and AI’s tendency toward coherence and cliché; performers uniquely embrace computational unpredictability as a generative force; architects balance efficiency imperatives with concerns about cultural homogenisation effects of Western-centric AI systems. Our conceptual framework positions creative professionals’ attitudes along two dimensions: knowledge codifiability (tacit/embodied to explicit/codifiable) and output materiality (physical/permanent to digital/ephemeral). Key tensions include balancing productivity with meaningful engagement, volume with distinction, precision with serendipity, and individual with collective intelligence. Ultimately, our findings reveal complex patterns of ambivalence shaped by competing value systems. This review contributes a comprehensive mapping of GenAI applications across creative disciplines, potential disconnects between educational emphasis on critique and industry’s pragmatic adoption, and gaps for future research on longitudinal skill impacts, emerging AI-native practices, Global South perspectives, and forms of creative resistance.","container-title":"AI &amp; SOCIETY","DOI":"10.1007/s00146-025-02667-2","ISSN":"1435-5655","journalAbbreviation":"AI &amp; Soc","language":"en","source":"Springer Link","title":"Perceptions and integration of generative artificial intelligence in creative practices and industries: a scoping review and conceptual model","title-short":"Perceptions and integration of generative artificial intelligence in creative practices and industries","URL":"https://doi.org/10.1007/s00146-025-02667-2","author":[{"family":"Tsao","given":"Jack"},{"family":"Liang","given":"Cindy Xinyi"},{"family":"Nogues","given":"Collier"},{"family":"Wong","given":"Alice"}],"accessed":{"date-parts":[["2025",12,15]]},"issued":{"date-parts":[["2025",10,8]]}},"label":"page"},{"id":1232,"uris":["http://zotero.org/groups/6329368/items/MGT659P6"],"itemData":{"id":1232,"type":"article-journal","abstract":"Generative artificial intelligence (GenAI) has recently attracted attention from literature and organisations, especially due to advances in machine learning techniques. However, research on GenAI in creative contexts remains in its early stages, with few attempts made to assess the current body of research or synthesise the existing knowledge in this area. To address this gap, this paper employs a systematic literature review of 64 studies to identify methods, research trends and key thematic insights shaping the current understanding of GenAI in creative contexts. The findings of this systematic literature review emphasise the rapid development of research on GenAI in creative contexts. The analysis highlights key factors influencing the adoption and impact of GenAI in creative processes, as well as the implications for creative outcomes and industry practices. From this analysis, several potential directions for future research emerge, including the long-term effects of GenAI on creative processes, socio-economic implications for creative industries, and frameworks for ethical use, and perception of GenAI-generated content.","container-title":"Management Review Quarterly","DOI":"10.1007/s11301-025-00494-9","ISSN":"2198-1639","journalAbbreviation":"Manag Rev Q","language":"en","source":"Springer Link","title":"Generative artificial intelligence in creative contexts: a systematic review and future research agenda","title-short":"Generative artificial intelligence in creative contexts","URL":"https://doi.org/10.1007/s11301-025-00494-9","author":[{"family":"Heigl","given":"Rebecca"}],"accessed":{"date-parts":[["2026",1,8]]},"issued":{"date-parts":[["2025",3,14]]}},"label":"page"}],"schema":"https://github.com/citation-style-language/schema/raw/master/csl-citation.json"} </w:instrText>
      </w:r>
      <w:r>
        <w:rPr>
          <w:rFonts w:hint="eastAsia" w:ascii="Times New Roman" w:hAnsi="Times New Roman" w:eastAsia="宋体" w:cs="Times New Roman"/>
          <w:snapToGrid/>
          <w:color w:val="auto"/>
          <w:sz w:val="20"/>
          <w:szCs w:val="20"/>
          <w:lang w:val="zh-CN" w:eastAsia="zh-CN" w:bidi="ar-SA"/>
        </w:rPr>
        <w:fldChar w:fldCharType="separate"/>
      </w:r>
      <w:r>
        <w:rPr>
          <w:rFonts w:hint="eastAsia" w:ascii="Times New Roman" w:hAnsi="Times New Roman" w:eastAsia="宋体" w:cs="Times New Roman"/>
          <w:snapToGrid/>
          <w:color w:val="auto"/>
          <w:sz w:val="20"/>
          <w:szCs w:val="20"/>
          <w:vertAlign w:val="superscript"/>
          <w:lang w:val="zh-CN" w:eastAsia="zh-CN" w:bidi="ar-SA"/>
        </w:rPr>
        <w:t>7,8</w:t>
      </w:r>
      <w:r>
        <w:rPr>
          <w:rFonts w:hint="eastAsia" w:ascii="Times New Roman" w:hAnsi="Times New Roman" w:eastAsia="宋体" w:cs="Times New Roman"/>
          <w:snapToGrid/>
          <w:color w:val="auto"/>
          <w:sz w:val="20"/>
          <w:szCs w:val="20"/>
          <w:lang w:val="zh-CN" w:eastAsia="zh-CN" w:bidi="ar-SA"/>
        </w:rPr>
        <w:fldChar w:fldCharType="end"/>
      </w:r>
      <w:r>
        <w:rPr>
          <w:rFonts w:hint="eastAsia" w:ascii="Times New Roman" w:hAnsi="Times New Roman" w:eastAsia="宋体" w:cs="Times New Roman"/>
          <w:snapToGrid/>
          <w:color w:val="auto"/>
          <w:sz w:val="20"/>
          <w:szCs w:val="20"/>
          <w:lang w:val="zh-CN" w:eastAsia="zh-CN" w:bidi="ar-SA"/>
        </w:rPr>
        <w:t>.</w:t>
      </w:r>
    </w:p>
    <w:p w14:paraId="08B8247D">
      <w:pPr>
        <w:pStyle w:val="6"/>
        <w:keepNext w:val="0"/>
        <w:keepLines w:val="0"/>
        <w:pageBreakBefore w:val="0"/>
        <w:widowControl/>
        <w:kinsoku w:val="0"/>
        <w:wordWrap/>
        <w:overflowPunct/>
        <w:topLinePunct w:val="0"/>
        <w:autoSpaceDE w:val="0"/>
        <w:autoSpaceDN w:val="0"/>
        <w:bidi w:val="0"/>
        <w:adjustRightInd w:val="0"/>
        <w:snapToGrid/>
        <w:spacing w:before="55" w:line="240" w:lineRule="auto"/>
        <w:ind w:firstLine="400" w:firstLineChars="200"/>
        <w:contextualSpacing/>
        <w:jc w:val="both"/>
        <w:textAlignment w:val="baseline"/>
        <w:outlineLvl w:val="2"/>
        <w:rPr>
          <w:rFonts w:hint="eastAsia" w:ascii="Times New Roman" w:hAnsi="Times New Roman" w:eastAsia="宋体" w:cs="Times New Roman"/>
          <w:snapToGrid/>
          <w:color w:val="auto"/>
          <w:sz w:val="20"/>
          <w:szCs w:val="20"/>
          <w:lang w:val="zh-CN" w:eastAsia="zh-CN" w:bidi="ar-SA"/>
        </w:rPr>
      </w:pPr>
      <w:r>
        <w:rPr>
          <w:rFonts w:hint="eastAsia" w:ascii="Times New Roman" w:hAnsi="Times New Roman" w:eastAsia="宋体" w:cs="Times New Roman"/>
          <w:snapToGrid/>
          <w:color w:val="auto"/>
          <w:sz w:val="20"/>
          <w:szCs w:val="20"/>
          <w:lang w:val="zh-CN" w:eastAsia="zh-CN" w:bidi="ar-SA"/>
        </w:rPr>
        <w:t>Existing studies reveal GenAI</w:t>
      </w:r>
      <w:r>
        <w:rPr>
          <w:rFonts w:hint="default" w:ascii="Times New Roman" w:hAnsi="Times New Roman" w:eastAsia="宋体" w:cs="Times New Roman"/>
          <w:snapToGrid/>
          <w:color w:val="auto"/>
          <w:sz w:val="20"/>
          <w:szCs w:val="20"/>
          <w:lang w:val="en-US" w:eastAsia="zh-CN" w:bidi="ar-SA"/>
        </w:rPr>
        <w:t>’</w:t>
      </w:r>
      <w:r>
        <w:rPr>
          <w:rFonts w:hint="eastAsia" w:ascii="Times New Roman" w:hAnsi="Times New Roman" w:eastAsia="宋体" w:cs="Times New Roman"/>
          <w:snapToGrid/>
          <w:color w:val="auto"/>
          <w:sz w:val="20"/>
          <w:szCs w:val="20"/>
          <w:lang w:val="zh-CN" w:eastAsia="zh-CN" w:bidi="ar-SA"/>
        </w:rPr>
        <w:t>s paradoxical impact on creative education, presenting both significant opportunities and psychological challenges for learners.</w:t>
      </w:r>
      <w:r>
        <w:rPr>
          <w:rFonts w:hint="eastAsia" w:ascii="Times New Roman" w:hAnsi="Times New Roman" w:eastAsia="宋体" w:cs="Times New Roman"/>
          <w:snapToGrid/>
          <w:color w:val="auto"/>
          <w:sz w:val="20"/>
          <w:szCs w:val="20"/>
          <w:lang w:val="en-US" w:eastAsia="zh-CN" w:bidi="ar-SA"/>
        </w:rPr>
        <w:t xml:space="preserve"> </w:t>
      </w:r>
      <w:r>
        <w:rPr>
          <w:rFonts w:hint="eastAsia" w:ascii="Times New Roman" w:hAnsi="Times New Roman" w:eastAsia="宋体" w:cs="Times New Roman"/>
          <w:snapToGrid/>
          <w:color w:val="auto"/>
          <w:sz w:val="20"/>
          <w:szCs w:val="20"/>
          <w:lang w:val="zh-CN" w:eastAsia="zh-CN" w:bidi="ar-SA"/>
        </w:rPr>
        <w:t>On the positive side, GenAI lowers technical barriers by transforming complex creative tasks into natural language interactions, enabling novice students to generate high-quality visual designs and architectural renderings</w:t>
      </w:r>
      <w:r>
        <w:rPr>
          <w:rFonts w:hint="eastAsia" w:ascii="Times New Roman" w:hAnsi="Times New Roman" w:eastAsia="宋体" w:cs="Times New Roman"/>
          <w:snapToGrid/>
          <w:color w:val="auto"/>
          <w:sz w:val="20"/>
          <w:szCs w:val="20"/>
          <w:lang w:val="zh-CN" w:eastAsia="zh-CN" w:bidi="ar-SA"/>
        </w:rPr>
        <w:fldChar w:fldCharType="begin"/>
      </w:r>
      <w:r>
        <w:rPr>
          <w:rFonts w:hint="eastAsia" w:ascii="Times New Roman" w:hAnsi="Times New Roman" w:eastAsia="宋体" w:cs="Times New Roman"/>
          <w:snapToGrid/>
          <w:color w:val="auto"/>
          <w:sz w:val="20"/>
          <w:szCs w:val="20"/>
          <w:lang w:val="zh-CN" w:eastAsia="zh-CN" w:bidi="ar-SA"/>
        </w:rPr>
        <w:instrText xml:space="preserve"> ADDIN ZOTERO_ITEM CSL_CITATION {"citationID":"aoogdal9sv","properties":{"formattedCitation":"&lt;sup&gt;9&lt;/sup&gt;","plainCitation":"9","noteIndex":0},"citationItems":[{"id":1244,"uris":["http://zotero.org/groups/6329368/items/RF4KXHL4"],"itemData":{"id":1244,"type":"article-journal","abstract":"As the demand for higher-order thinking skills continues to rise in the 21st century, the integration of Generative Artificial Intelligence (GAI) into educational practices has emerged as a promising tool. However, its full potential in enhancing collaborative problem-solving and team creativity within educational contexts, particularly in Digital Storytelling (DST), remains insufficiently explored. This study investigated the effects of GAI tools, including ChatGPT, Midjourney, and Runway, on university students’ Collaborative Problem-Solving (CPS) skills, Team Creativity Performance (TCP), and their perceptions of GAI’s role in DST creation. Employing a mixed-methods approach, the study utilized pre- and post-surveys along with semi-structured interviews to assess these outcomes. Over a 20-week DST training program, sixty university students were randomly assigned to either an experimental group creating their DST with the aid of GAI tools or a conventional group designed DST via traditional methods. Results indicated that the integration of GAI tools in DST creation significantly enhanced students’ CPS skills. Furthermore, the experimental group demonstrated better performance in team creativity, particularly in the user experience and novelty dimensions. It also revealed that while students generally held a positive attitude toward the use of GAI in DST creation, they also expressed concerns about potential cognitive offloading, over-reliance on GAI technology, and the lack of emotional support. This study offers valuable insights for educators and researchers seeking to incorporate GAI technologies into DST creation as a way to foster collaborative learning and creativity in educational settings.","container-title":"International Journal of Educational Technology in Higher Education","DOI":"10.1186/s41239-025-00526-0","ISSN":"2365-9440","issue":"1","journalAbbreviation":"Int J Educ Technol High Educ","language":"en","page":"23","source":"Springer Link","title":"The effects of generative AI on collaborative problem-solving and team creativity performance in digital story creation: an experimental study","title-short":"The effects of generative AI on collaborative problem-solving and team creativity performance in digital story creation","volume":"22","author":[{"family":"Wei","given":"Xiaodong"},{"family":"Wang","given":"Lei"},{"family":"Lee","given":"Lap-Kei"},{"family":"Liu","given":"Ruixue"}],"issued":{"date-parts":[["2025",4,25]]}}}],"schema":"https://github.com/citation-style-language/schema/raw/master/csl-citation.json"} </w:instrText>
      </w:r>
      <w:r>
        <w:rPr>
          <w:rFonts w:hint="eastAsia" w:ascii="Times New Roman" w:hAnsi="Times New Roman" w:eastAsia="宋体" w:cs="Times New Roman"/>
          <w:snapToGrid/>
          <w:color w:val="auto"/>
          <w:sz w:val="20"/>
          <w:szCs w:val="20"/>
          <w:lang w:val="zh-CN" w:eastAsia="zh-CN" w:bidi="ar-SA"/>
        </w:rPr>
        <w:fldChar w:fldCharType="separate"/>
      </w:r>
      <w:r>
        <w:rPr>
          <w:rFonts w:hint="eastAsia" w:ascii="Times New Roman" w:hAnsi="Times New Roman" w:eastAsia="宋体" w:cs="Times New Roman"/>
          <w:snapToGrid/>
          <w:color w:val="auto"/>
          <w:sz w:val="20"/>
          <w:szCs w:val="20"/>
          <w:vertAlign w:val="superscript"/>
          <w:lang w:val="zh-CN" w:eastAsia="zh-CN" w:bidi="ar-SA"/>
        </w:rPr>
        <w:t>9</w:t>
      </w:r>
      <w:r>
        <w:rPr>
          <w:rFonts w:hint="eastAsia" w:ascii="Times New Roman" w:hAnsi="Times New Roman" w:eastAsia="宋体" w:cs="Times New Roman"/>
          <w:snapToGrid/>
          <w:color w:val="auto"/>
          <w:sz w:val="20"/>
          <w:szCs w:val="20"/>
          <w:lang w:val="zh-CN" w:eastAsia="zh-CN" w:bidi="ar-SA"/>
        </w:rPr>
        <w:fldChar w:fldCharType="end"/>
      </w:r>
      <w:r>
        <w:rPr>
          <w:rFonts w:hint="eastAsia" w:ascii="Times New Roman" w:hAnsi="Times New Roman" w:eastAsia="宋体" w:cs="Times New Roman"/>
          <w:snapToGrid/>
          <w:color w:val="auto"/>
          <w:sz w:val="20"/>
          <w:szCs w:val="20"/>
          <w:lang w:val="zh-CN" w:eastAsia="zh-CN" w:bidi="ar-SA"/>
        </w:rPr>
        <w:t>. This accessibility democratizes creative expression and accelerates ideation, particularly benefiting learners with limited prior expertise</w:t>
      </w:r>
      <w:r>
        <w:rPr>
          <w:rFonts w:hint="eastAsia" w:ascii="Times New Roman" w:hAnsi="Times New Roman" w:eastAsia="宋体" w:cs="Times New Roman"/>
          <w:snapToGrid/>
          <w:color w:val="auto"/>
          <w:sz w:val="20"/>
          <w:szCs w:val="20"/>
          <w:lang w:val="zh-CN" w:eastAsia="zh-CN" w:bidi="ar-SA"/>
        </w:rPr>
        <w:fldChar w:fldCharType="begin"/>
      </w:r>
      <w:r>
        <w:rPr>
          <w:rFonts w:hint="eastAsia" w:ascii="Times New Roman" w:hAnsi="Times New Roman" w:eastAsia="宋体" w:cs="Times New Roman"/>
          <w:snapToGrid/>
          <w:color w:val="auto"/>
          <w:sz w:val="20"/>
          <w:szCs w:val="20"/>
          <w:lang w:val="zh-CN" w:eastAsia="zh-CN" w:bidi="ar-SA"/>
        </w:rPr>
        <w:instrText xml:space="preserve"> ADDIN ZOTERO_ITEM CSL_CITATION {"citationID":"a10qcoigtmf","properties":{"formattedCitation":"&lt;sup&gt;10&lt;/sup&gt;","plainCitation":"10","noteIndex":0},"citationItems":[{"id":1246,"uris":["http://zotero.org/groups/6329368/items/RQDGNKJM"],"itemData":{"id":1246,"type":"article","abstract":"This paper introduces the leapfrogging effect hypothesis, proposing that generative AI significantly expands students’ Zone of Proximal Development (ZPD) by permanently scaffolding procedural tasks and enabling earlier engagement with higher-order cognitive activities. Drawing upon foundational theories—including Vygotsky’s ZPD (1978), Cognitive Load Theory (Sweller et al., 2011) and Bloom’s revised taxonomy (Anderson &amp; Krathwohl, 2001)—it argues that traditional educational practices, which often enforce procedural gatekeeping, require re-examination in the AI era. The paper integrates recent empirical and theoretical research with practical examples from writing, mathematics, and programming education, highlighting how thoughtfully integrated generative AI can democratize advanced cognitive opportunities, especially benefiting traditionally disadvantaged or struggling learners. It advocates incremental curriculum reform, emphasizing raised cognitive expectations, explicit instruction in AI literacy, and deliberate, discipline-specific integration of AI-supported learning experiences.","DOI":"10.2139/ssrn.5230565","genre":"SSRN Scholarly Paper","language":"en","number":"5230565","publisher":"Social Science Research Network","publisher-place":"Rochester, NY","source":"papers.ssrn.com","title":"Leapfrogging Effect Hypothesis: Generative Ai as a Permanent Scaffold in Higher Education","title-short":"Leapfrogging Effect Hypothesis","URL":"https://papers.ssrn.com/abstract=5230565","author":[{"family":"Sidorkin","given":"Alexander M."}],"accessed":{"date-parts":[["2026",1,8]]},"issued":{"date-parts":[["2025",5,3]]}}}],"schema":"https://github.com/citation-style-language/schema/raw/master/csl-citation.json"} </w:instrText>
      </w:r>
      <w:r>
        <w:rPr>
          <w:rFonts w:hint="eastAsia" w:ascii="Times New Roman" w:hAnsi="Times New Roman" w:eastAsia="宋体" w:cs="Times New Roman"/>
          <w:snapToGrid/>
          <w:color w:val="auto"/>
          <w:sz w:val="20"/>
          <w:szCs w:val="20"/>
          <w:lang w:val="zh-CN" w:eastAsia="zh-CN" w:bidi="ar-SA"/>
        </w:rPr>
        <w:fldChar w:fldCharType="separate"/>
      </w:r>
      <w:r>
        <w:rPr>
          <w:rFonts w:hint="eastAsia" w:ascii="Times New Roman" w:hAnsi="Times New Roman" w:eastAsia="宋体" w:cs="Times New Roman"/>
          <w:snapToGrid/>
          <w:color w:val="auto"/>
          <w:sz w:val="20"/>
          <w:szCs w:val="20"/>
          <w:vertAlign w:val="superscript"/>
          <w:lang w:val="zh-CN" w:eastAsia="zh-CN" w:bidi="ar-SA"/>
        </w:rPr>
        <w:t>10</w:t>
      </w:r>
      <w:r>
        <w:rPr>
          <w:rFonts w:hint="eastAsia" w:ascii="Times New Roman" w:hAnsi="Times New Roman" w:eastAsia="宋体" w:cs="Times New Roman"/>
          <w:snapToGrid/>
          <w:color w:val="auto"/>
          <w:sz w:val="20"/>
          <w:szCs w:val="20"/>
          <w:lang w:val="zh-CN" w:eastAsia="zh-CN" w:bidi="ar-SA"/>
        </w:rPr>
        <w:fldChar w:fldCharType="end"/>
      </w:r>
      <w:r>
        <w:rPr>
          <w:rFonts w:hint="eastAsia" w:ascii="Times New Roman" w:hAnsi="Times New Roman" w:eastAsia="宋体" w:cs="Times New Roman"/>
          <w:snapToGrid/>
          <w:color w:val="auto"/>
          <w:sz w:val="20"/>
          <w:szCs w:val="20"/>
          <w:lang w:val="zh-CN" w:eastAsia="zh-CN" w:bidi="ar-SA"/>
        </w:rPr>
        <w:t>. Research indicates that students using GenAI as a creative scaffold report enhanced creative self-efficacy and increased engagement during early design stages</w:t>
      </w:r>
      <w:r>
        <w:rPr>
          <w:rFonts w:hint="eastAsia" w:ascii="Times New Roman" w:hAnsi="Times New Roman" w:eastAsia="宋体" w:cs="Times New Roman"/>
          <w:snapToGrid/>
          <w:color w:val="auto"/>
          <w:sz w:val="20"/>
          <w:szCs w:val="20"/>
          <w:lang w:val="zh-CN" w:eastAsia="zh-CN" w:bidi="ar-SA"/>
        </w:rPr>
        <w:fldChar w:fldCharType="begin"/>
      </w:r>
      <w:r>
        <w:rPr>
          <w:rFonts w:hint="eastAsia" w:ascii="Times New Roman" w:hAnsi="Times New Roman" w:eastAsia="宋体" w:cs="Times New Roman"/>
          <w:snapToGrid/>
          <w:color w:val="auto"/>
          <w:sz w:val="20"/>
          <w:szCs w:val="20"/>
          <w:lang w:val="zh-CN" w:eastAsia="zh-CN" w:bidi="ar-SA"/>
        </w:rPr>
        <w:instrText xml:space="preserve"> ADDIN ZOTERO_ITEM CSL_CITATION {"citationID":"a2lbjkh4o70","properties":{"formattedCitation":"&lt;sup&gt;11&lt;/sup&gt;","plainCitation":"11","noteIndex":0},"citationItems":[{"id":1239,"uris":["http://zotero.org/groups/6329368/items/USSVKQHG"],"itemData":{"id":1239,"type":"article-journal","abstract":"Large language models represent a significant advancement in the field of AI. The underlying technology is key to further innovations and, despite critical views and even bans within communities and regions, large language models are here to stay. This commentary presents the potential benefits and challenges of educational applications of large language models, from student and teacher perspectives. We briefly discuss the current state of large language models and their applications. We then highlight how these models can be used to create educational content, improve student engagement and interaction, and personalize learning experiences. With regard to challenges, we argue that large language models in education require teachers and learners to develop sets of competencies and literacies necessary to both understand the technology as well as their limitations and unexpected brittleness of such systems. In addition, a clear strategy within educational systems and a clear pedagogical approach with a strong focus on critical thinking and strategies for fact checking are required to integrate and take full advantage of large language models in learning settings and teaching curricula. Other challenges such as the potential bias in the output, the need for continuous human oversight, and the potential for misuse are not unique to the application of AI in education. But we believe that, if handled sensibly, these challenges can offer insights and opportunities in education scenarios to acquaint students early on with potential societal biases, criticalities, and risks of AI applications. We conclude with recommendations for how to address these challenges and ensure that such models are used in a responsible and ethical manner in education.","container-title":"Learning and Individual Differences","DOI":"10.1016/j.lindif.2023.102274","ISSN":"1041-6080","journalAbbreviation":"Learning and Individual Differences","page":"102274","source":"ScienceDirect","title":"ChatGPT for good? On opportunities and challenges of large language models for education","title-short":"ChatGPT for good?","volume":"103","author":[{"family":"Kasneci","given":"Enkelejda"},{"family":"Sessler","given":"Kathrin"},{"family":"Küchemann","given":"Stefan"},{"family":"Bannert","given":"Maria"},{"family":"Dementieva","given":"Daryna"},{"family":"Fischer","given":"Frank"},{"family":"Gasser","given":"Urs"},{"family":"Groh","given":"Georg"},{"family":"Günnemann","given":"Stephan"},{"family":"Hüllermeier","given":"Eyke"},{"family":"Krusche","given":"Stephan"},{"family":"Kutyniok","given":"Gitta"},{"family":"Michaeli","given":"Tilman"},{"family":"Nerdel","given":"Claudia"},{"family":"Pfeffer","given":"Jürgen"},{"family":"Poquet","given":"Oleksandra"},{"family":"Sailer","given":"Michael"},{"family":"Schmidt","given":"Albrecht"},{"family":"Seidel","given":"Tina"},{"family":"Stadler","given":"Matthias"},{"family":"Weller","given":"Jochen"},{"family":"Kuhn","given":"Jochen"},{"family":"Kasneci","given":"Gjergji"}],"issued":{"date-parts":[["2023",4,1]]}}}],"schema":"https://github.com/citation-style-language/schema/raw/master/csl-citation.json"} </w:instrText>
      </w:r>
      <w:r>
        <w:rPr>
          <w:rFonts w:hint="eastAsia" w:ascii="Times New Roman" w:hAnsi="Times New Roman" w:eastAsia="宋体" w:cs="Times New Roman"/>
          <w:snapToGrid/>
          <w:color w:val="auto"/>
          <w:sz w:val="20"/>
          <w:szCs w:val="20"/>
          <w:lang w:val="zh-CN" w:eastAsia="zh-CN" w:bidi="ar-SA"/>
        </w:rPr>
        <w:fldChar w:fldCharType="separate"/>
      </w:r>
      <w:r>
        <w:rPr>
          <w:rFonts w:hint="eastAsia" w:ascii="Times New Roman" w:hAnsi="Times New Roman" w:eastAsia="宋体" w:cs="Times New Roman"/>
          <w:snapToGrid/>
          <w:color w:val="auto"/>
          <w:sz w:val="20"/>
          <w:szCs w:val="20"/>
          <w:vertAlign w:val="superscript"/>
          <w:lang w:val="zh-CN" w:eastAsia="zh-CN" w:bidi="ar-SA"/>
        </w:rPr>
        <w:t>11</w:t>
      </w:r>
      <w:r>
        <w:rPr>
          <w:rFonts w:hint="eastAsia" w:ascii="Times New Roman" w:hAnsi="Times New Roman" w:eastAsia="宋体" w:cs="Times New Roman"/>
          <w:snapToGrid/>
          <w:color w:val="auto"/>
          <w:sz w:val="20"/>
          <w:szCs w:val="20"/>
          <w:lang w:val="zh-CN" w:eastAsia="zh-CN" w:bidi="ar-SA"/>
        </w:rPr>
        <w:fldChar w:fldCharType="end"/>
      </w:r>
      <w:r>
        <w:rPr>
          <w:rFonts w:hint="eastAsia" w:ascii="Times New Roman" w:hAnsi="Times New Roman" w:eastAsia="宋体" w:cs="Times New Roman"/>
          <w:snapToGrid/>
          <w:color w:val="auto"/>
          <w:sz w:val="20"/>
          <w:szCs w:val="20"/>
          <w:lang w:val="zh-CN" w:eastAsia="zh-CN" w:bidi="ar-SA"/>
        </w:rPr>
        <w:t>.Conversely, students face mounting psychological risks from GenAI integration. Many report anxiety about skill obsolescence and career displacement, fearing that their foundational creative competencies may become redundant</w:t>
      </w:r>
      <w:r>
        <w:rPr>
          <w:rFonts w:hint="eastAsia" w:ascii="Times New Roman" w:hAnsi="Times New Roman" w:eastAsia="宋体" w:cs="Times New Roman"/>
          <w:snapToGrid/>
          <w:color w:val="auto"/>
          <w:sz w:val="20"/>
          <w:szCs w:val="20"/>
          <w:lang w:val="zh-CN" w:eastAsia="zh-CN" w:bidi="ar-SA"/>
        </w:rPr>
        <w:fldChar w:fldCharType="begin"/>
      </w:r>
      <w:r>
        <w:rPr>
          <w:rFonts w:hint="eastAsia" w:ascii="Times New Roman" w:hAnsi="Times New Roman" w:eastAsia="宋体" w:cs="Times New Roman"/>
          <w:snapToGrid/>
          <w:color w:val="auto"/>
          <w:sz w:val="20"/>
          <w:szCs w:val="20"/>
          <w:lang w:val="zh-CN" w:eastAsia="zh-CN" w:bidi="ar-SA"/>
        </w:rPr>
        <w:instrText xml:space="preserve"> ADDIN ZOTERO_ITEM CSL_CITATION {"citationID":"asruh1lulv","properties":{"formattedCitation":"&lt;sup&gt;12&lt;/sup&gt;","plainCitation":"12","noteIndex":0},"citationItems":[{"id":1104,"uris":["http://zotero.org/groups/6329368/items/BIMXTHN3"],"itemData":{"id":1104,"type":"article-journal","abstract":"This paper establishes a framework and toolkit for designing Generative Artificial Intelligence (genAI) that address foundational challenges of these technologies and reframe the problem-solution space. The stakes are high for human-centered solutions: genAI is rapidly disrupting existing markets with technologies that exhibit increasingly complex and emergent abilities, and accelerate scale, cognitive offloading, and distributed cognition. The Problem-Solution Symbiosis framework and toolkit extends, rather than displaces, human cognition, including tools for envisioning, problem (re)framing and selection, interdisciplinary collaboration, and the alignment of stakeholder needs with the strengths of a genAI system. Applying the toolkit helps us guide the development of useful, desirable genAI by building intuition about system capabilities, developing a systemic understanding of emerging problem spaces, and using a matrix to identify if and when to offload tasks to the system. The framework is informed by systems theory, frame analysis, human-computer interaction research on current AI design approaches, and analogous approaches from spatial computing design research.","container-title":"Ethnographic Praxis in Industry Conference Proceedings","DOI":"10.1111/epic.12198","ISSN":"1559-8918","issue":"1","language":"en","license":"© 2024 EPIC Proceedings","note":"_eprint: https://anthrosource.onlinelibrary.wiley.com/doi/pdf/10.1111/epic.12198","page":"112-133","source":"Wiley Online Library","title":"Designing AI to Think with Us, Not for Us","volume":"2024","author":[{"family":"Hutka","given":"Stefanie"}],"issued":{"date-parts":[["2024"]]}}}],"schema":"https://github.com/citation-style-language/schema/raw/master/csl-citation.json"} </w:instrText>
      </w:r>
      <w:r>
        <w:rPr>
          <w:rFonts w:hint="eastAsia" w:ascii="Times New Roman" w:hAnsi="Times New Roman" w:eastAsia="宋体" w:cs="Times New Roman"/>
          <w:snapToGrid/>
          <w:color w:val="auto"/>
          <w:sz w:val="20"/>
          <w:szCs w:val="20"/>
          <w:lang w:val="zh-CN" w:eastAsia="zh-CN" w:bidi="ar-SA"/>
        </w:rPr>
        <w:fldChar w:fldCharType="separate"/>
      </w:r>
      <w:r>
        <w:rPr>
          <w:rFonts w:hint="eastAsia" w:ascii="Times New Roman" w:hAnsi="Times New Roman" w:eastAsia="宋体" w:cs="Times New Roman"/>
          <w:snapToGrid/>
          <w:color w:val="auto"/>
          <w:sz w:val="20"/>
          <w:szCs w:val="20"/>
          <w:vertAlign w:val="superscript"/>
          <w:lang w:val="zh-CN" w:eastAsia="zh-CN" w:bidi="ar-SA"/>
        </w:rPr>
        <w:t>12</w:t>
      </w:r>
      <w:r>
        <w:rPr>
          <w:rFonts w:hint="eastAsia" w:ascii="Times New Roman" w:hAnsi="Times New Roman" w:eastAsia="宋体" w:cs="Times New Roman"/>
          <w:snapToGrid/>
          <w:color w:val="auto"/>
          <w:sz w:val="20"/>
          <w:szCs w:val="20"/>
          <w:lang w:val="zh-CN" w:eastAsia="zh-CN" w:bidi="ar-SA"/>
        </w:rPr>
        <w:fldChar w:fldCharType="end"/>
      </w:r>
      <w:r>
        <w:rPr>
          <w:rFonts w:hint="eastAsia" w:ascii="Times New Roman" w:hAnsi="Times New Roman" w:eastAsia="宋体" w:cs="Times New Roman"/>
          <w:snapToGrid/>
          <w:color w:val="auto"/>
          <w:sz w:val="20"/>
          <w:szCs w:val="20"/>
          <w:lang w:val="zh-CN" w:eastAsia="zh-CN" w:bidi="ar-SA"/>
        </w:rPr>
        <w:t xml:space="preserve">. The perception that </w:t>
      </w:r>
      <w:r>
        <w:rPr>
          <w:rFonts w:hint="eastAsia" w:ascii="Times New Roman" w:hAnsi="Times New Roman" w:eastAsia="宋体" w:cs="Times New Roman"/>
          <w:snapToGrid/>
          <w:color w:val="auto"/>
          <w:sz w:val="20"/>
          <w:szCs w:val="20"/>
          <w:lang w:val="en-US" w:eastAsia="zh-CN" w:bidi="ar-SA"/>
        </w:rPr>
        <w:t>Gen</w:t>
      </w:r>
      <w:r>
        <w:rPr>
          <w:rFonts w:hint="eastAsia" w:ascii="Times New Roman" w:hAnsi="Times New Roman" w:eastAsia="宋体" w:cs="Times New Roman"/>
          <w:snapToGrid/>
          <w:color w:val="auto"/>
          <w:sz w:val="20"/>
          <w:szCs w:val="20"/>
          <w:lang w:val="zh-CN" w:eastAsia="zh-CN" w:bidi="ar-SA"/>
        </w:rPr>
        <w:t>AI can produce outputs comparable to human work challenges students</w:t>
      </w:r>
      <w:r>
        <w:rPr>
          <w:rFonts w:hint="default" w:ascii="Times New Roman" w:hAnsi="Times New Roman" w:eastAsia="宋体" w:cs="Times New Roman"/>
          <w:snapToGrid/>
          <w:color w:val="auto"/>
          <w:sz w:val="20"/>
          <w:szCs w:val="20"/>
          <w:lang w:val="en-US" w:eastAsia="zh-CN" w:bidi="ar-SA"/>
        </w:rPr>
        <w:t>’</w:t>
      </w:r>
      <w:r>
        <w:rPr>
          <w:rFonts w:hint="eastAsia" w:ascii="Times New Roman" w:hAnsi="Times New Roman" w:eastAsia="宋体" w:cs="Times New Roman"/>
          <w:snapToGrid/>
          <w:color w:val="auto"/>
          <w:sz w:val="20"/>
          <w:szCs w:val="20"/>
          <w:lang w:val="zh-CN" w:eastAsia="zh-CN" w:bidi="ar-SA"/>
        </w:rPr>
        <w:t xml:space="preserve"> sense of creative authorship and professional identity</w:t>
      </w:r>
      <w:r>
        <w:rPr>
          <w:rFonts w:hint="eastAsia" w:ascii="Times New Roman" w:hAnsi="Times New Roman" w:eastAsia="宋体" w:cs="Times New Roman"/>
          <w:snapToGrid/>
          <w:color w:val="auto"/>
          <w:sz w:val="20"/>
          <w:szCs w:val="20"/>
          <w:lang w:val="zh-CN" w:eastAsia="zh-CN" w:bidi="ar-SA"/>
        </w:rPr>
        <w:fldChar w:fldCharType="begin"/>
      </w:r>
      <w:r>
        <w:rPr>
          <w:rFonts w:hint="eastAsia" w:ascii="Times New Roman" w:hAnsi="Times New Roman" w:eastAsia="宋体" w:cs="Times New Roman"/>
          <w:snapToGrid/>
          <w:color w:val="auto"/>
          <w:sz w:val="20"/>
          <w:szCs w:val="20"/>
          <w:lang w:val="zh-CN" w:eastAsia="zh-CN" w:bidi="ar-SA"/>
        </w:rPr>
        <w:instrText xml:space="preserve"> ADDIN ZOTERO_ITEM CSL_CITATION {"citationID":"apbfmrs3c6","properties":{"formattedCitation":"&lt;sup&gt;8&lt;/sup&gt;","plainCitation":"8","noteIndex":0},"citationItems":[{"id":1232,"uris":["http://zotero.org/groups/6329368/items/MGT659P6"],"itemData":{"id":1232,"type":"article-journal","abstract":"Generative artificial intelligence (GenAI) has recently attracted attention from literature and organisations, especially due to advances in machine learning techniques. However, research on GenAI in creative contexts remains in its early stages, with few attempts made to assess the current body of research or synthesise the existing knowledge in this area. To address this gap, this paper employs a systematic literature review of 64 studies to identify methods, research trends and key thematic insights shaping the current understanding of GenAI in creative contexts. The findings of this systematic literature review emphasise the rapid development of research on GenAI in creative contexts. The analysis highlights key factors influencing the adoption and impact of GenAI in creative processes, as well as the implications for creative outcomes and industry practices. From this analysis, several potential directions for future research emerge, including the long-term effects of GenAI on creative processes, socio-economic implications for creative industries, and frameworks for ethical use, and perception of GenAI-generated content.","container-title":"Management Review Quarterly","DOI":"10.1007/s11301-025-00494-9","ISSN":"2198-1639","journalAbbreviation":"Manag Rev Q","language":"en","source":"Springer Link","title":"Generative artificial intelligence in creative contexts: a systematic review and future research agenda","title-short":"Generative artificial intelligence in creative contexts","URL":"https://doi.org/10.1007/s11301-025-00494-9","author":[{"family":"Heigl","given":"Rebecca"}],"accessed":{"date-parts":[["2026",1,8]]},"issued":{"date-parts":[["2025",3,14]]}}}],"schema":"https://github.com/citation-style-language/schema/raw/master/csl-citation.json"} </w:instrText>
      </w:r>
      <w:r>
        <w:rPr>
          <w:rFonts w:hint="eastAsia" w:ascii="Times New Roman" w:hAnsi="Times New Roman" w:eastAsia="宋体" w:cs="Times New Roman"/>
          <w:snapToGrid/>
          <w:color w:val="auto"/>
          <w:sz w:val="20"/>
          <w:szCs w:val="20"/>
          <w:lang w:val="zh-CN" w:eastAsia="zh-CN" w:bidi="ar-SA"/>
        </w:rPr>
        <w:fldChar w:fldCharType="separate"/>
      </w:r>
      <w:r>
        <w:rPr>
          <w:rFonts w:hint="eastAsia" w:ascii="Times New Roman" w:hAnsi="Times New Roman" w:eastAsia="宋体" w:cs="Times New Roman"/>
          <w:snapToGrid/>
          <w:color w:val="auto"/>
          <w:sz w:val="20"/>
          <w:szCs w:val="20"/>
          <w:vertAlign w:val="superscript"/>
          <w:lang w:val="zh-CN" w:eastAsia="zh-CN" w:bidi="ar-SA"/>
        </w:rPr>
        <w:t>8</w:t>
      </w:r>
      <w:r>
        <w:rPr>
          <w:rFonts w:hint="eastAsia" w:ascii="Times New Roman" w:hAnsi="Times New Roman" w:eastAsia="宋体" w:cs="Times New Roman"/>
          <w:snapToGrid/>
          <w:color w:val="auto"/>
          <w:sz w:val="20"/>
          <w:szCs w:val="20"/>
          <w:lang w:val="zh-CN" w:eastAsia="zh-CN" w:bidi="ar-SA"/>
        </w:rPr>
        <w:fldChar w:fldCharType="end"/>
      </w:r>
      <w:r>
        <w:rPr>
          <w:rFonts w:hint="eastAsia" w:ascii="Times New Roman" w:hAnsi="Times New Roman" w:eastAsia="宋体" w:cs="Times New Roman"/>
          <w:snapToGrid/>
          <w:color w:val="auto"/>
          <w:sz w:val="20"/>
          <w:szCs w:val="20"/>
          <w:lang w:val="zh-CN" w:eastAsia="zh-CN" w:bidi="ar-SA"/>
        </w:rPr>
        <w:t xml:space="preserve">. Additionally, process-level concerns emerge as students struggle with over-reliance on </w:t>
      </w:r>
      <w:r>
        <w:rPr>
          <w:rFonts w:hint="eastAsia" w:ascii="Times New Roman" w:hAnsi="Times New Roman" w:eastAsia="宋体" w:cs="Times New Roman"/>
          <w:snapToGrid/>
          <w:color w:val="auto"/>
          <w:sz w:val="20"/>
          <w:szCs w:val="20"/>
          <w:lang w:val="en-US" w:eastAsia="zh-CN" w:bidi="ar-SA"/>
        </w:rPr>
        <w:t>Gen</w:t>
      </w:r>
      <w:r>
        <w:rPr>
          <w:rFonts w:hint="eastAsia" w:ascii="Times New Roman" w:hAnsi="Times New Roman" w:eastAsia="宋体" w:cs="Times New Roman"/>
          <w:snapToGrid/>
          <w:color w:val="auto"/>
          <w:sz w:val="20"/>
          <w:szCs w:val="20"/>
          <w:lang w:val="zh-CN" w:eastAsia="zh-CN" w:bidi="ar-SA"/>
        </w:rPr>
        <w:t>AI suggestions and frustration with unpredictable outputs that misalign with their creative intentions</w:t>
      </w:r>
      <w:r>
        <w:rPr>
          <w:rFonts w:hint="eastAsia" w:ascii="Times New Roman" w:hAnsi="Times New Roman" w:eastAsia="宋体" w:cs="Times New Roman"/>
          <w:snapToGrid/>
          <w:color w:val="auto"/>
          <w:sz w:val="20"/>
          <w:szCs w:val="20"/>
          <w:lang w:val="zh-CN" w:eastAsia="zh-CN" w:bidi="ar-SA"/>
        </w:rPr>
        <w:fldChar w:fldCharType="begin"/>
      </w:r>
      <w:r>
        <w:rPr>
          <w:rFonts w:hint="eastAsia" w:ascii="Times New Roman" w:hAnsi="Times New Roman" w:eastAsia="宋体" w:cs="Times New Roman"/>
          <w:snapToGrid/>
          <w:color w:val="auto"/>
          <w:sz w:val="20"/>
          <w:szCs w:val="20"/>
          <w:lang w:val="zh-CN" w:eastAsia="zh-CN" w:bidi="ar-SA"/>
        </w:rPr>
        <w:instrText xml:space="preserve"> ADDIN ZOTERO_ITEM CSL_CITATION {"citationID":"a15jqe9956q","properties":{"formattedCitation":"&lt;sup&gt;13&lt;/sup&gt;","plainCitation":"13","noteIndex":0},"citationItems":[{"id":1142,"uris":["http://zotero.org/groups/6329368/items/UK3NNRBZ"],"itemData":{"id":1142,"type":"article-journal","abstract":"The widespread application of generative artificial intelligence (GAI) and its ability to perform various tasks have raised concerns about identity threats. This study aims to investigate antecedents, behavioral consequences, and boundary conditions of GAI identity threat. We conduct a two-phase study using a mixed-methods approach. The qualitative phase aims to identify the critical factors that influence GAI identity threat. After coding 30 semi-structured interview transcripts, we find that GAI's high intelligence and human-like abilities facilitate three kinds of affordance that influence GAI identity threat: creative affordance, analysis affordance, and communication affordance. The quantitative phase, based on IT identity threat theory, constructs a research model to examine how the three types of affordance influence GAI identity threat, as well as identifying the behavioral consequences. An examination of survey data from 405 users indicates that GAI's creative affordance, analysis affordance, and communication affordance are associated with GAI identity threat, which may lead to users’ resistance behavior. Furthermore, GAI autonomy and user self-identity moderate the relationship between GAI affordances and GAI identity threat, respectively. This study identifies users’ negative psychological mechanisms when using AI, develops IT identity threat theory in the context of GAI, and provides implications for practitioners to reduce identity threats.","container-title":"Information &amp; Management","DOI":"10.1016/j.im.2024.104093","ISSN":"0378-7206","issue":"2","journalAbbreviation":"Information &amp; Management","page":"104093","source":"ScienceDirect","title":"GAI identity threat: When and why do individuals feel threatened?","title-short":"GAI identity threat","volume":"62","author":[{"family":"Zhou","given":"Jing"},{"family":"Lu","given":"Yaobin"},{"family":"Chen","given":"Qian"}],"issued":{"date-parts":[["2025",3,1]]}}}],"schema":"https://github.com/citation-style-language/schema/raw/master/csl-citation.json"} </w:instrText>
      </w:r>
      <w:r>
        <w:rPr>
          <w:rFonts w:hint="eastAsia" w:ascii="Times New Roman" w:hAnsi="Times New Roman" w:eastAsia="宋体" w:cs="Times New Roman"/>
          <w:snapToGrid/>
          <w:color w:val="auto"/>
          <w:sz w:val="20"/>
          <w:szCs w:val="20"/>
          <w:lang w:val="zh-CN" w:eastAsia="zh-CN" w:bidi="ar-SA"/>
        </w:rPr>
        <w:fldChar w:fldCharType="separate"/>
      </w:r>
      <w:r>
        <w:rPr>
          <w:rFonts w:hint="eastAsia" w:ascii="Times New Roman" w:hAnsi="Times New Roman" w:eastAsia="宋体" w:cs="Times New Roman"/>
          <w:snapToGrid/>
          <w:color w:val="auto"/>
          <w:sz w:val="20"/>
          <w:szCs w:val="20"/>
          <w:vertAlign w:val="superscript"/>
          <w:lang w:val="zh-CN" w:eastAsia="zh-CN" w:bidi="ar-SA"/>
        </w:rPr>
        <w:t>13</w:t>
      </w:r>
      <w:r>
        <w:rPr>
          <w:rFonts w:hint="eastAsia" w:ascii="Times New Roman" w:hAnsi="Times New Roman" w:eastAsia="宋体" w:cs="Times New Roman"/>
          <w:snapToGrid/>
          <w:color w:val="auto"/>
          <w:sz w:val="20"/>
          <w:szCs w:val="20"/>
          <w:lang w:val="zh-CN" w:eastAsia="zh-CN" w:bidi="ar-SA"/>
        </w:rPr>
        <w:fldChar w:fldCharType="end"/>
      </w:r>
      <w:r>
        <w:rPr>
          <w:rFonts w:hint="eastAsia" w:ascii="Times New Roman" w:hAnsi="Times New Roman" w:eastAsia="宋体" w:cs="Times New Roman"/>
          <w:snapToGrid/>
          <w:color w:val="auto"/>
          <w:sz w:val="20"/>
          <w:szCs w:val="20"/>
          <w:lang w:val="zh-CN" w:eastAsia="zh-CN" w:bidi="ar-SA"/>
        </w:rPr>
        <w:t>.</w:t>
      </w:r>
      <w:r>
        <w:rPr>
          <w:rFonts w:hint="eastAsia" w:ascii="Times New Roman" w:hAnsi="Times New Roman" w:eastAsia="宋体" w:cs="Times New Roman"/>
          <w:snapToGrid/>
          <w:color w:val="auto"/>
          <w:sz w:val="20"/>
          <w:szCs w:val="20"/>
          <w:lang w:val="en-US" w:eastAsia="zh-CN" w:bidi="ar-SA"/>
        </w:rPr>
        <w:t xml:space="preserve"> </w:t>
      </w:r>
      <w:r>
        <w:rPr>
          <w:rFonts w:hint="eastAsia" w:ascii="Times New Roman" w:hAnsi="Times New Roman" w:eastAsia="宋体" w:cs="Times New Roman"/>
          <w:snapToGrid/>
          <w:color w:val="auto"/>
          <w:sz w:val="20"/>
          <w:szCs w:val="20"/>
          <w:lang w:val="zh-CN" w:eastAsia="zh-CN" w:bidi="ar-SA"/>
        </w:rPr>
        <w:t>These contrasting findings establish GenAI as a double-edged tool</w:t>
      </w:r>
      <w:r>
        <w:rPr>
          <w:rFonts w:hint="eastAsia" w:ascii="Times New Roman" w:hAnsi="Times New Roman" w:eastAsia="宋体" w:cs="Times New Roman"/>
          <w:snapToGrid/>
          <w:color w:val="auto"/>
          <w:sz w:val="20"/>
          <w:szCs w:val="20"/>
          <w:lang w:val="en-US" w:eastAsia="zh-CN" w:bidi="ar-SA"/>
        </w:rPr>
        <w:t xml:space="preserve"> that </w:t>
      </w:r>
      <w:r>
        <w:rPr>
          <w:rFonts w:hint="eastAsia" w:ascii="Times New Roman" w:hAnsi="Times New Roman" w:eastAsia="宋体" w:cs="Times New Roman"/>
          <w:snapToGrid/>
          <w:color w:val="auto"/>
          <w:sz w:val="20"/>
          <w:szCs w:val="20"/>
          <w:lang w:val="zh-CN" w:eastAsia="zh-CN" w:bidi="ar-SA"/>
        </w:rPr>
        <w:t>simultaneously expanding creative possibilities while introducing new psychological tensions that reshape the creative learning experience</w:t>
      </w:r>
      <w:r>
        <w:rPr>
          <w:rFonts w:hint="eastAsia" w:ascii="Times New Roman" w:hAnsi="Times New Roman" w:eastAsia="宋体" w:cs="Times New Roman"/>
          <w:snapToGrid/>
          <w:color w:val="auto"/>
          <w:sz w:val="20"/>
          <w:szCs w:val="20"/>
          <w:lang w:val="zh-CN" w:eastAsia="zh-CN" w:bidi="ar-SA"/>
        </w:rPr>
        <w:fldChar w:fldCharType="begin"/>
      </w:r>
      <w:r>
        <w:rPr>
          <w:rFonts w:hint="eastAsia" w:ascii="Times New Roman" w:hAnsi="Times New Roman" w:eastAsia="宋体" w:cs="Times New Roman"/>
          <w:snapToGrid/>
          <w:color w:val="auto"/>
          <w:sz w:val="20"/>
          <w:szCs w:val="20"/>
          <w:lang w:val="zh-CN" w:eastAsia="zh-CN" w:bidi="ar-SA"/>
        </w:rPr>
        <w:instrText xml:space="preserve"> ADDIN ZOTERO_ITEM CSL_CITATION {"citationID":"a2okm6u8pck","properties":{"formattedCitation":"&lt;sup&gt;6,7&lt;/sup&gt;","plainCitation":"6,7","noteIndex":0},"citationItems":[{"id":1204,"uris":["http://zotero.org/groups/6329368/items/EKJEHWJI"],"itemData":{"id":1204,"type":"article-journal","abstract":"The increasing use of Generative AI raises many ethical, philosophical, and legal issues. A key issue here is uncertainties about how different degrees of Generative AI assistance in the production of text impacts assessments of the human authorship of that text. To explore this issue, we developed an experimental mixed methods survey study (N = 602) asking participants to reflect on a scenario of a human author receiving assistance to write a short novel as part of a 3 (high, medium, or low degrees of assistance) X 2 (human or AI assistant) factorial design. We found that, for a human author, the degree of assistance they receive matters for our assessments of their level of authorship, creatorship, and responsibility, but not what or who rendered that assistance, although it was more important to disclose human rather than AI assistance. However, in our assessments of the assisting agent, human assistants were viewed as warranting higher rates of authorship, creatorship, and responsibility, compared to AI assistants rendering the same level of support. These results help us to better understand emerging norms around collaborative human-AI generated text, with implications for other types of collaborative content creation.","container-title":"AI &amp; SOCIETY","DOI":"10.1007/s00146-024-02081-0","ISSN":"1435-5655","issue":"5","journalAbbreviation":"AI &amp; Soc","language":"en","page":"3405-3417","source":"Springer Link","title":"Can ChatGPT be an author? Generative AI creative writing assistance and perceptions of authorship, creatorship, responsibility, and disclosure","title-short":"Can ChatGPT be an author?","volume":"40","author":[{"family":"Formosa","given":"Paul"},{"family":"Bankins","given":"Sarah"},{"family":"Matulionyte","given":"Rita"},{"family":"Ghasemi","given":"Omid"}],"issued":{"date-parts":[["2025",6,1]]}},"label":"page"},{"id":1086,"uris":["http://zotero.org/groups/6329368/items/M5LSEEMN"],"itemData":{"id":1086,"type":"article-journal","abstract":"Generative Artificial Intelligence (GenAI) is fundamentally transforming notions of creativity and creative production across disciplines, yet a comprehensive understanding of professional attitudes and integration patterns remains challenging. This scoping review examines how creative professionals perceive and integrate GenAI technologies across four domains: visual art and design, writing and literature, performing arts, and environmental and spatial design. Following PRISMA-ScR guidelines, we analysed 57 papers (2022–2025) from multiple databases, focusing mainly on empirically based studies of professional creative practice. We identify universal trends, including the shift from creation to curation and meta-creation, the emergence of new literacies (prompt engineering, AI evaluation), and the reconfiguration of expertise hierarchies. Career stage emerges as a critical factor: across domains, entry-level professionals demonstrate enthusiasm and view GenAI as a natural extension of digital tools, while senior practitioners express scepticism about expertise devaluation. All fields consistently position GenAI in early-stage conceptualisation rather than final production, developing hybrid methodologies that preserve human judgment in convergent creative phases. However, impacts manifest differently based on each field/ sub-field’s relationship to embodiment and materiality. Integration levels follow an inverse relationship with traditional notions of “pure” creativity—fields prioritising embodied practice and cultural authenticity (fine arts, literary fiction, classical music) show the most significant resistance. At the same time, commercially oriented domains embrace higher adoption for efficiency gains. Visual artists face “erasure by obscurity” from AI output volume; writers negotiate between nonlinear, associative language generation and AI’s tendency toward coherence and cliché; performers uniquely embrace computational unpredictability as a generative force; architects balance efficiency imperatives with concerns about cultural homogenisation effects of Western-centric AI systems. Our conceptual framework positions creative professionals’ attitudes along two dimensions: knowledge codifiability (tacit/embodied to explicit/codifiable) and output materiality (physical/permanent to digital/ephemeral). Key tensions include balancing productivity with meaningful engagement, volume with distinction, precision with serendipity, and individual with collective intelligence. Ultimately, our findings reveal complex patterns of ambivalence shaped by competing value systems. This review contributes a comprehensive mapping of GenAI applications across creative disciplines, potential disconnects between educational emphasis on critique and industry’s pragmatic adoption, and gaps for future research on longitudinal skill impacts, emerging AI-native practices, Global South perspectives, and forms of creative resistance.","container-title":"AI &amp; SOCIETY","DOI":"10.1007/s00146-025-02667-2","ISSN":"1435-5655","journalAbbreviation":"AI &amp; Soc","language":"en","source":"Springer Link","title":"Perceptions and integration of generative artificial intelligence in creative practices and industries: a scoping review and conceptual model","title-short":"Perceptions and integration of generative artificial intelligence in creative practices and industries","URL":"https://doi.org/10.1007/s00146-025-02667-2","author":[{"family":"Tsao","given":"Jack"},{"family":"Liang","given":"Cindy Xinyi"},{"family":"Nogues","given":"Collier"},{"family":"Wong","given":"Alice"}],"accessed":{"date-parts":[["2025",12,15]]},"issued":{"date-parts":[["2025",10,8]]}},"label":"page"}],"schema":"https://github.com/citation-style-language/schema/raw/master/csl-citation.json"} </w:instrText>
      </w:r>
      <w:r>
        <w:rPr>
          <w:rFonts w:hint="eastAsia" w:ascii="Times New Roman" w:hAnsi="Times New Roman" w:eastAsia="宋体" w:cs="Times New Roman"/>
          <w:snapToGrid/>
          <w:color w:val="auto"/>
          <w:sz w:val="20"/>
          <w:szCs w:val="20"/>
          <w:lang w:val="zh-CN" w:eastAsia="zh-CN" w:bidi="ar-SA"/>
        </w:rPr>
        <w:fldChar w:fldCharType="separate"/>
      </w:r>
      <w:r>
        <w:rPr>
          <w:rFonts w:hint="eastAsia" w:ascii="Times New Roman" w:hAnsi="Times New Roman" w:eastAsia="宋体" w:cs="Times New Roman"/>
          <w:snapToGrid/>
          <w:color w:val="auto"/>
          <w:sz w:val="20"/>
          <w:szCs w:val="20"/>
          <w:vertAlign w:val="superscript"/>
          <w:lang w:val="zh-CN" w:eastAsia="zh-CN" w:bidi="ar-SA"/>
        </w:rPr>
        <w:t>6,7</w:t>
      </w:r>
      <w:r>
        <w:rPr>
          <w:rFonts w:hint="eastAsia" w:ascii="Times New Roman" w:hAnsi="Times New Roman" w:eastAsia="宋体" w:cs="Times New Roman"/>
          <w:snapToGrid/>
          <w:color w:val="auto"/>
          <w:sz w:val="20"/>
          <w:szCs w:val="20"/>
          <w:lang w:val="zh-CN" w:eastAsia="zh-CN" w:bidi="ar-SA"/>
        </w:rPr>
        <w:fldChar w:fldCharType="end"/>
      </w:r>
      <w:r>
        <w:rPr>
          <w:rFonts w:hint="eastAsia" w:ascii="Times New Roman" w:hAnsi="Times New Roman" w:eastAsia="宋体" w:cs="Times New Roman"/>
          <w:snapToGrid/>
          <w:color w:val="auto"/>
          <w:sz w:val="20"/>
          <w:szCs w:val="20"/>
          <w:lang w:val="zh-CN" w:eastAsia="zh-CN" w:bidi="ar-SA"/>
        </w:rPr>
        <w:t>.</w:t>
      </w:r>
    </w:p>
    <w:p w14:paraId="2250AB41">
      <w:pPr>
        <w:pStyle w:val="6"/>
        <w:keepNext w:val="0"/>
        <w:keepLines w:val="0"/>
        <w:pageBreakBefore w:val="0"/>
        <w:widowControl/>
        <w:kinsoku w:val="0"/>
        <w:wordWrap/>
        <w:overflowPunct/>
        <w:topLinePunct w:val="0"/>
        <w:autoSpaceDE w:val="0"/>
        <w:autoSpaceDN w:val="0"/>
        <w:bidi w:val="0"/>
        <w:adjustRightInd w:val="0"/>
        <w:snapToGrid/>
        <w:spacing w:before="55" w:line="240" w:lineRule="auto"/>
        <w:ind w:firstLine="400" w:firstLineChars="200"/>
        <w:contextualSpacing/>
        <w:jc w:val="both"/>
        <w:textAlignment w:val="baseline"/>
        <w:outlineLvl w:val="2"/>
        <w:rPr>
          <w:rFonts w:hint="default" w:ascii="Times New Roman" w:hAnsi="Times New Roman" w:eastAsia="宋体" w:cs="Times New Roman"/>
          <w:snapToGrid/>
          <w:color w:val="auto"/>
          <w:sz w:val="20"/>
          <w:szCs w:val="20"/>
          <w:lang w:val="en-US" w:eastAsia="zh-CN" w:bidi="ar-SA"/>
        </w:rPr>
      </w:pPr>
      <w:r>
        <w:rPr>
          <w:rFonts w:hint="eastAsia" w:ascii="Times New Roman" w:hAnsi="Times New Roman" w:eastAsia="宋体" w:cs="Times New Roman"/>
          <w:snapToGrid/>
          <w:color w:val="auto"/>
          <w:sz w:val="20"/>
          <w:szCs w:val="20"/>
          <w:lang w:val="zh-CN" w:eastAsia="zh-CN" w:bidi="ar-SA"/>
        </w:rPr>
        <w:t>Navigating the double-edged nature of GenAI in creative education requires a holistic approach that simultaneously addresses its potential to accelerate ideation and its risks to professional identity. Establishing this balance is critical for developing evidence-based pedagogies that maximize technical benefits while safeguarding student well-being.</w:t>
      </w:r>
      <w:r>
        <w:rPr>
          <w:rFonts w:hint="eastAsia" w:ascii="Times New Roman" w:hAnsi="Times New Roman" w:eastAsia="宋体" w:cs="Times New Roman"/>
          <w:snapToGrid/>
          <w:color w:val="auto"/>
          <w:sz w:val="20"/>
          <w:szCs w:val="20"/>
          <w:lang w:val="en-US" w:eastAsia="zh-CN" w:bidi="ar-SA"/>
        </w:rPr>
        <w:t xml:space="preserve"> </w:t>
      </w:r>
      <w:r>
        <w:rPr>
          <w:rFonts w:hint="eastAsia" w:ascii="Times New Roman" w:hAnsi="Times New Roman" w:eastAsia="宋体" w:cs="Times New Roman"/>
          <w:snapToGrid/>
          <w:color w:val="auto"/>
          <w:sz w:val="20"/>
          <w:szCs w:val="20"/>
          <w:lang w:val="zh-CN" w:eastAsia="zh-CN" w:bidi="ar-SA"/>
        </w:rPr>
        <w:t>However, current empirical research remains too fragmented to support such a comprehensive framework. First, the literature predominantly prioritizes tangible design outcomes</w:t>
      </w:r>
      <w:r>
        <w:rPr>
          <w:rFonts w:hint="eastAsia" w:ascii="Times New Roman" w:hAnsi="Times New Roman" w:eastAsia="宋体" w:cs="Times New Roman"/>
          <w:snapToGrid/>
          <w:color w:val="auto"/>
          <w:sz w:val="20"/>
          <w:szCs w:val="20"/>
          <w:lang w:val="en-US" w:eastAsia="zh-CN" w:bidi="ar-SA"/>
        </w:rPr>
        <w:t xml:space="preserve">, </w:t>
      </w:r>
      <w:r>
        <w:rPr>
          <w:rFonts w:hint="eastAsia" w:ascii="Times New Roman" w:hAnsi="Times New Roman" w:eastAsia="宋体" w:cs="Times New Roman"/>
          <w:snapToGrid/>
          <w:color w:val="auto"/>
          <w:sz w:val="20"/>
          <w:szCs w:val="20"/>
          <w:lang w:val="zh-CN" w:eastAsia="zh-CN" w:bidi="ar-SA"/>
        </w:rPr>
        <w:t>such as task efficiency and novelty</w:t>
      </w:r>
      <w:r>
        <w:rPr>
          <w:rFonts w:hint="eastAsia" w:ascii="Times New Roman" w:hAnsi="Times New Roman" w:eastAsia="宋体" w:cs="Times New Roman"/>
          <w:snapToGrid/>
          <w:color w:val="auto"/>
          <w:sz w:val="20"/>
          <w:szCs w:val="20"/>
          <w:lang w:val="en-US" w:eastAsia="zh-CN" w:bidi="ar-SA"/>
        </w:rPr>
        <w:t xml:space="preserve">, </w:t>
      </w:r>
      <w:r>
        <w:rPr>
          <w:rFonts w:hint="eastAsia" w:ascii="Times New Roman" w:hAnsi="Times New Roman" w:eastAsia="宋体" w:cs="Times New Roman"/>
          <w:snapToGrid/>
          <w:color w:val="auto"/>
          <w:sz w:val="20"/>
          <w:szCs w:val="20"/>
          <w:lang w:val="zh-CN" w:eastAsia="zh-CN" w:bidi="ar-SA"/>
        </w:rPr>
        <w:t>over students</w:t>
      </w:r>
      <w:r>
        <w:rPr>
          <w:rFonts w:hint="default" w:ascii="Times New Roman" w:hAnsi="Times New Roman" w:eastAsia="宋体" w:cs="Times New Roman"/>
          <w:snapToGrid/>
          <w:color w:val="auto"/>
          <w:sz w:val="20"/>
          <w:szCs w:val="20"/>
          <w:lang w:val="en-US" w:eastAsia="zh-CN" w:bidi="ar-SA"/>
        </w:rPr>
        <w:t>’</w:t>
      </w:r>
      <w:r>
        <w:rPr>
          <w:rFonts w:hint="eastAsia" w:ascii="Times New Roman" w:hAnsi="Times New Roman" w:eastAsia="宋体" w:cs="Times New Roman"/>
          <w:snapToGrid/>
          <w:color w:val="auto"/>
          <w:sz w:val="20"/>
          <w:szCs w:val="20"/>
          <w:lang w:val="zh-CN" w:eastAsia="zh-CN" w:bidi="ar-SA"/>
        </w:rPr>
        <w:t xml:space="preserve"> psychological well-being</w:t>
      </w:r>
      <w:r>
        <w:rPr>
          <w:rFonts w:hint="eastAsia" w:ascii="Times New Roman" w:hAnsi="Times New Roman" w:eastAsia="宋体" w:cs="Times New Roman"/>
          <w:snapToGrid/>
          <w:color w:val="auto"/>
          <w:sz w:val="20"/>
          <w:szCs w:val="20"/>
          <w:lang w:val="zh-CN" w:eastAsia="zh-CN" w:bidi="ar-SA"/>
        </w:rPr>
        <w:fldChar w:fldCharType="begin"/>
      </w:r>
      <w:r>
        <w:rPr>
          <w:rFonts w:hint="eastAsia" w:ascii="Times New Roman" w:hAnsi="Times New Roman" w:eastAsia="宋体" w:cs="Times New Roman"/>
          <w:snapToGrid/>
          <w:color w:val="auto"/>
          <w:sz w:val="20"/>
          <w:szCs w:val="20"/>
          <w:lang w:val="zh-CN" w:eastAsia="zh-CN" w:bidi="ar-SA"/>
        </w:rPr>
        <w:instrText xml:space="preserve"> ADDIN ZOTERO_ITEM CSL_CITATION {"citationID":"a2g7ft3qe1p","properties":{"formattedCitation":"&lt;sup&gt;14,15&lt;/sup&gt;","plainCitation":"14,15","noteIndex":0},"citationItems":[{"id":1210,"uris":["http://zotero.org/groups/6329368/items/KQ8DB3US"],"itemData":{"id":1210,"type":"article-journal","abstract":"In a volatile and ever-changing world, creativity and wellbeing are essential for learners to flourish. With lagging educational models and siloed thinking and practice surrounding wellbeing and creativity, a new model of creativity and wellbeing is needed. Creative-Being is offered as a dualistic systemic model that is grounded in a Systems Informed Positive Education perspective, encompassing negative emotion as a mechanism to promote both creativity and wellbeing, or creative flourishing. Designed to equip learners, Creative-Being offers fresh insights into the positive transforming power of negative emotion in the creative process, providing an important step forward in furthering positive education.","container-title":"The Journal of Positive Psychology","DOI":"10.1080/17439760.2024.2322467","ISSN":"1743-9760","issue":"1","note":"_eprint: https://doi.org/10.1080/17439760.2024.2322467","page":"59-71","publisher":"Routledge","source":"Taylor and Francis+NEJM","title":"The creative-being model: the role of negative emotion in creative flourishing and the impact on positive education","title-short":"The creative-being model","volume":"20","author":[{"family":"Beresford","given":"Katie"},{"family":"Kern","given":"Margaret L."},{"family":"Jarden","given":"Aaron"}],"issued":{"date-parts":[["2025",1,2]]}},"label":"page"},{"id":1248,"uris":["http://zotero.org/groups/6329368/items/Y4XSPYTF"],"itemData":{"id":1248,"type":"article-journal","abstract":"The paper dwells on an urgent problem of music and music-pedagogical education in terms of Ukraine and other countries worldwide - the formation of students' health culture by means of innovative technologies of artistic and creative music education. The objective of the paper is to highlight the results of an experimental study of the formation of students' health culture by means of innovative technologies of artistic and creative music education. Correspondingly, to study the problem, the following scientific research methods were employed, such as: a range of scientific approaches: cultural, competence and technological ones; a set of theoretical methods: deduction and induction, analysis, comparison, specification, classification, systematisation; modelling and generalisation; as well as empirical methods: observation, survey, tests, creative tasks, comparison, evaluation, didactic games, pedagogical experimenting along with mathematical statistics. The concept of student’s health culture has been defined as a systemic, dynamic formation of the student's personality, provided by a set of worldview values for human health and knowledge, skills, and abilities aimed at hygiene and health protection of oneself as well as others in both in-class and extracurricular educational activities. Consequently, the structure of the student's health culture is substantiated by four groups of criteria that correspond to the components of this phenomenon. The paper introduces the implementation of technologies for using musical plasticity development and artistic-breathing training, teaching musical improvisation and music creation, musical and artistic transformation, including artistic and creative reflection. Hence, the experiment to develop students' health culture through innovative technologies of artistic and creative music education was conducted. The effectiveness of these technologies in developing this phenomenon was experimentally verified and proven.","archive_location":"Coverage=2022-2024  Coverage=Kryvyi Rih , Kyiv, Ucraine","container-title":"Revista Romaneasca pentru Educatie Multidimensionala","DOI":"10.18662/rrem/17.1/964","ISSN":"2067-9270","issue":"1","language":"en","license":"Copyright (c) 2025 The Authors &amp; InManifest Network","page":"518-546","source":"lumenpublishing.com","title":"Formation of Students' Health Culture through Innovative Technologies of Artistic and Creative Music Education","volume":"17","author":[{"family":"Ovcharenko","given":"Natalia"},{"family":"Merezhko","given":"Yuliia"},{"family":"Ovcharenko-Pieshkova","given":"Olena"},{"family":"Andreichyk","given":"Bohdan"},{"family":"Chebotarenko","given":"Olha"}],"issued":{"date-parts":[["2025",3,28]]}},"label":"page"}],"schema":"https://github.com/citation-style-language/schema/raw/master/csl-citation.json"} </w:instrText>
      </w:r>
      <w:r>
        <w:rPr>
          <w:rFonts w:hint="eastAsia" w:ascii="Times New Roman" w:hAnsi="Times New Roman" w:eastAsia="宋体" w:cs="Times New Roman"/>
          <w:snapToGrid/>
          <w:color w:val="auto"/>
          <w:sz w:val="20"/>
          <w:szCs w:val="20"/>
          <w:lang w:val="zh-CN" w:eastAsia="zh-CN" w:bidi="ar-SA"/>
        </w:rPr>
        <w:fldChar w:fldCharType="separate"/>
      </w:r>
      <w:r>
        <w:rPr>
          <w:rFonts w:hint="eastAsia" w:ascii="Times New Roman" w:hAnsi="Times New Roman" w:eastAsia="宋体" w:cs="Times New Roman"/>
          <w:snapToGrid/>
          <w:color w:val="auto"/>
          <w:sz w:val="20"/>
          <w:szCs w:val="20"/>
          <w:vertAlign w:val="superscript"/>
          <w:lang w:val="zh-CN" w:eastAsia="zh-CN" w:bidi="ar-SA"/>
        </w:rPr>
        <w:t>14,15</w:t>
      </w:r>
      <w:r>
        <w:rPr>
          <w:rFonts w:hint="eastAsia" w:ascii="Times New Roman" w:hAnsi="Times New Roman" w:eastAsia="宋体" w:cs="Times New Roman"/>
          <w:snapToGrid/>
          <w:color w:val="auto"/>
          <w:sz w:val="20"/>
          <w:szCs w:val="20"/>
          <w:lang w:val="zh-CN" w:eastAsia="zh-CN" w:bidi="ar-SA"/>
        </w:rPr>
        <w:fldChar w:fldCharType="end"/>
      </w:r>
      <w:r>
        <w:rPr>
          <w:rFonts w:hint="eastAsia" w:ascii="Times New Roman" w:hAnsi="Times New Roman" w:eastAsia="宋体" w:cs="Times New Roman"/>
          <w:snapToGrid/>
          <w:color w:val="auto"/>
          <w:sz w:val="20"/>
          <w:szCs w:val="20"/>
          <w:lang w:val="zh-CN" w:eastAsia="zh-CN" w:bidi="ar-SA"/>
        </w:rPr>
        <w:t>, often neglecting diverse populations beyond undergraduate cohorts</w:t>
      </w:r>
      <w:r>
        <w:rPr>
          <w:rFonts w:hint="eastAsia" w:ascii="Times New Roman" w:hAnsi="Times New Roman" w:eastAsia="宋体" w:cs="Times New Roman"/>
          <w:snapToGrid/>
          <w:color w:val="auto"/>
          <w:sz w:val="20"/>
          <w:szCs w:val="20"/>
          <w:lang w:val="zh-CN" w:eastAsia="zh-CN" w:bidi="ar-SA"/>
        </w:rPr>
        <w:fldChar w:fldCharType="begin"/>
      </w:r>
      <w:r>
        <w:rPr>
          <w:rFonts w:hint="eastAsia" w:ascii="Times New Roman" w:hAnsi="Times New Roman" w:eastAsia="宋体" w:cs="Times New Roman"/>
          <w:snapToGrid/>
          <w:color w:val="auto"/>
          <w:sz w:val="20"/>
          <w:szCs w:val="20"/>
          <w:lang w:val="zh-CN" w:eastAsia="zh-CN" w:bidi="ar-SA"/>
        </w:rPr>
        <w:instrText xml:space="preserve"> ADDIN ZOTERO_ITEM CSL_CITATION {"citationID":"ast5eoog6r","properties":{"formattedCitation":"&lt;sup&gt;16,17&lt;/sup&gt;","plainCitation":"16,17","noteIndex":0},"citationItems":[{"id":1228,"uris":["http://zotero.org/groups/6329368/items/VRANLH3G"],"itemData":{"id":1228,"type":"article-journal","abstract":"The rise of generative AI (GenAI) in higher education has prompted urgent debates surrounding academic integrity and ethical use. This study examines cross-cultural differences in student perceptions of GenAI use, comparing responses from students at Canadian and South Korean universities. Using a scenario-based survey administered in Fall 2024, we analyzed how students judged the ethicality and rule compliance of AI-assisted coding practices. Results reveal that Canadian students were consistently more likely to perceive the use of GenAI as both unethical and against institutional policies compared to Korean students, despite functionally identical institutional policies. Statistical analysis, including Mann-Whitney U tests and correlation coefficients, demonstrated significant differences across nearly all scenarios. Analysis of the factors used in generating scenarios indicated that the amount of AI-generated code incorporated into assignments most strongly influenced ethical judgments. Findings were interpreted through Hofstede’s cultural dimensions framework, suggesting that cultural factors such as power distance, individualism, and uncertainty avoidance significantly shape students’ ethical reasoning regarding GenAI. Our results contribute to the growing body of evidence emphasizing that equitable AI integration in education must be culturally responsive, taking into account diverse conceptions of academic integrity. We advocate for the development of nuanced AI-use guidelines that are sensitive to local cultural contexts while upholding fundamental principles of academic honesty. This study highlights the need for ongoing cross-cultural research to inform ethical AI policies and support responsible GenAI use in global higher education settings.","container-title":"ACM Trans. Comput. Educ.","DOI":"10.1145/3776558","issue":"1","page":"15:1–15:23","source":"ACM Digital Library","title":"Did Alice Do Wrong? Cross-Cultural Differences in Student Perceptions of Generative AI Use in University Computing Education","title-short":"Did Alice Do Wrong?","volume":"26","author":[{"family":"Harrington","given":"Brian"},{"family":"Zlotnikova","given":"Irina"},{"family":"Nadarajan","given":"Gayathri"},{"family":"Ekundayo","given":"Samuel"}],"issued":{"date-parts":[["2025",12,16]]}},"label":"page"},{"id":1116,"uris":["http://zotero.org/groups/6329368/items/444MRRZX"],"itemData":{"id":1116,"type":"article","abstract":"The rapid integration of generative artificial intelligence, particularly ChatGPT, is reshaping cultural and social landscapes globally, with East Asia emerging as a critical site of transformation. This study examines the role of ChatGPT in modern East Asian life and its potential to ignite a cultural revolution by bridging tradition and modernity. Using a mixed-method approach that combined exploratory data analysis, ANOVA testing, clustering, natural language processing, and regression modeling, the research explored themes of helpfulness, safety, cultural resonance, and intellectual hybridity across multiple East Asian locales. The results indicate strong cultural variance in user interactions, with Japanese and Korean users emphasizing functional utility, while Chinese and Hong Kong users highlighted sociocultural adaptation and identity negotiation. Topic modeling and cluster analyses identified that ChatGPT is embedded within broader cultural debates about authenticity, modernity, and global influence. Importantly, the study found that ChatGPT contributes to both intellectual enrichment and cultural disruption, positioning it as a catalyst for rethinking identity and knowledge structures in East Asia. The findings suggest that ChatGPT is not simply an AI platform but a socio-cultural force capable of shaping the next wave of intellectual and cultural movements in the region.","DOI":"10.21203/rs.3.rs-7502268/v1","note":"ISSN: 2693-5015","publisher":"Research Square","source":"Research Square","title":"Investigating the impact of ChatGPT technology on modern life in East Asian countries and creating a new cultural revolution","URL":"https://www.researchsquare.com/article/rs-7502268/v1","author":[{"family":"Wang","given":"Xiaohui"}],"accessed":{"date-parts":[["2025",12,16]]},"issued":{"date-parts":[["2025",11,7]]}},"label":"page"}],"schema":"https://github.com/citation-style-language/schema/raw/master/csl-citation.json"} </w:instrText>
      </w:r>
      <w:r>
        <w:rPr>
          <w:rFonts w:hint="eastAsia" w:ascii="Times New Roman" w:hAnsi="Times New Roman" w:eastAsia="宋体" w:cs="Times New Roman"/>
          <w:snapToGrid/>
          <w:color w:val="auto"/>
          <w:sz w:val="20"/>
          <w:szCs w:val="20"/>
          <w:lang w:val="zh-CN" w:eastAsia="zh-CN" w:bidi="ar-SA"/>
        </w:rPr>
        <w:fldChar w:fldCharType="separate"/>
      </w:r>
      <w:r>
        <w:rPr>
          <w:rFonts w:hint="eastAsia" w:ascii="Times New Roman" w:hAnsi="Times New Roman" w:eastAsia="宋体" w:cs="Times New Roman"/>
          <w:snapToGrid/>
          <w:color w:val="auto"/>
          <w:sz w:val="20"/>
          <w:szCs w:val="20"/>
          <w:vertAlign w:val="superscript"/>
          <w:lang w:val="zh-CN" w:eastAsia="zh-CN" w:bidi="ar-SA"/>
        </w:rPr>
        <w:t>16,17</w:t>
      </w:r>
      <w:r>
        <w:rPr>
          <w:rFonts w:hint="eastAsia" w:ascii="Times New Roman" w:hAnsi="Times New Roman" w:eastAsia="宋体" w:cs="Times New Roman"/>
          <w:snapToGrid/>
          <w:color w:val="auto"/>
          <w:sz w:val="20"/>
          <w:szCs w:val="20"/>
          <w:lang w:val="zh-CN" w:eastAsia="zh-CN" w:bidi="ar-SA"/>
        </w:rPr>
        <w:fldChar w:fldCharType="end"/>
      </w:r>
      <w:r>
        <w:rPr>
          <w:rFonts w:hint="eastAsia" w:ascii="Times New Roman" w:hAnsi="Times New Roman" w:eastAsia="宋体" w:cs="Times New Roman"/>
          <w:snapToGrid/>
          <w:color w:val="auto"/>
          <w:sz w:val="20"/>
          <w:szCs w:val="20"/>
          <w:lang w:val="zh-CN" w:eastAsia="zh-CN" w:bidi="ar-SA"/>
        </w:rPr>
        <w:t>. Second, theoretical and methodological inconsistencies hinder cross-study comparison. Researchers employ disparate theoretical lenses, such as Self-Determination Theory</w:t>
      </w:r>
      <w:r>
        <w:rPr>
          <w:rFonts w:hint="eastAsia" w:ascii="Times New Roman" w:hAnsi="Times New Roman" w:eastAsia="宋体" w:cs="Times New Roman"/>
          <w:snapToGrid/>
          <w:color w:val="auto"/>
          <w:sz w:val="20"/>
          <w:szCs w:val="20"/>
          <w:lang w:val="zh-CN" w:eastAsia="zh-CN" w:bidi="ar-SA"/>
        </w:rPr>
        <w:fldChar w:fldCharType="begin"/>
      </w:r>
      <w:r>
        <w:rPr>
          <w:rFonts w:hint="eastAsia" w:ascii="Times New Roman" w:hAnsi="Times New Roman" w:eastAsia="宋体" w:cs="Times New Roman"/>
          <w:snapToGrid/>
          <w:color w:val="auto"/>
          <w:sz w:val="20"/>
          <w:szCs w:val="20"/>
          <w:lang w:val="zh-CN" w:eastAsia="zh-CN" w:bidi="ar-SA"/>
        </w:rPr>
        <w:instrText xml:space="preserve"> ADDIN ZOTERO_ITEM CSL_CITATION {"citationID":"a2fbnqka1gh","properties":{"formattedCitation":"&lt;sup&gt;18&lt;/sup&gt;","plainCitation":"18","noteIndex":0},"citationItems":[{"id":1120,"uris":["http://zotero.org/groups/6329368/items/LY5ME37X"],"itemData":{"id":1120,"type":"article-journal","abstract":"In design education, it is often more difficult to keep students engaged in theory courses than in hands-on studio classes. Theory courses focus on abstract concepts like design history and principles, which can feel disconnected from practical experience. This study explores how AI-powered teaching assistants can support student engagement in design theory through a mixed-methods approach. Based on Self-Determination Theory (SDT) and Task-Technology Fit (TTF) Theory, we developed a triadic engagement model and tested it with data from 363 undergraduate design students who used a domain-specific AI assistant. Results from Partial Least Squares Structural Equation Modeling (PLS-SEM) and Artificial Neural Networks (ANN) show that communication quality, perceived competence, task-technology fit, and school support are key predictors of engagement. In contrast, individual technology fit and lecturer support have limited effects. Fuzzy-set Qualitative Comparative Analysis (fsQCA) identifies five learner profiles leading to high engagement, showing that different combinations of motivation, support, and technology fit can be effective. Interviews with 10 students identify three themes, further revealing that while the AI assistant is helpful and accessible, it lacks depth in critical thinking, and it demonstrates that students learn to verify AI assistants’ responses and reflect on their learning. This study contributes to education and AI research by showing that chatbots must support both psychological needs and task alignment to foster meaningful engagement. It positions AI not just as an information tool, but as a partner in reflective and autonomous learning.","container-title":"Frontiers in Psychology","DOI":"10.3389/fpsyg.2025.1624182","ISSN":"1664-1078","journalAbbreviation":"Front. Psychol.","language":"English","publisher":"Frontiers","source":"Frontiers","title":"Building a triadic model of technology, motivation, and engagement: a mixed-methods study of AI teaching assistants in design theory education","title-short":"Building a triadic model of technology, motivation, and engagement","URL":"https://www.frontiersin.org/journals/psychology/articles/10.3389/fpsyg.2025.1624182/full","volume":"16","author":[{"family":"Wang","given":"Anlan"},{"family":"Wu","given":"Xingting"}],"accessed":{"date-parts":[["2025",12,16]]},"issued":{"date-parts":[["2025",7,2]]}}}],"schema":"https://github.com/citation-style-language/schema/raw/master/csl-citation.json"} </w:instrText>
      </w:r>
      <w:r>
        <w:rPr>
          <w:rFonts w:hint="eastAsia" w:ascii="Times New Roman" w:hAnsi="Times New Roman" w:eastAsia="宋体" w:cs="Times New Roman"/>
          <w:snapToGrid/>
          <w:color w:val="auto"/>
          <w:sz w:val="20"/>
          <w:szCs w:val="20"/>
          <w:lang w:val="zh-CN" w:eastAsia="zh-CN" w:bidi="ar-SA"/>
        </w:rPr>
        <w:fldChar w:fldCharType="separate"/>
      </w:r>
      <w:r>
        <w:rPr>
          <w:rFonts w:hint="eastAsia" w:ascii="Times New Roman" w:hAnsi="Times New Roman" w:eastAsia="宋体" w:cs="Times New Roman"/>
          <w:snapToGrid/>
          <w:color w:val="auto"/>
          <w:sz w:val="20"/>
          <w:szCs w:val="20"/>
          <w:vertAlign w:val="superscript"/>
          <w:lang w:val="zh-CN" w:eastAsia="zh-CN" w:bidi="ar-SA"/>
        </w:rPr>
        <w:t>18</w:t>
      </w:r>
      <w:r>
        <w:rPr>
          <w:rFonts w:hint="eastAsia" w:ascii="Times New Roman" w:hAnsi="Times New Roman" w:eastAsia="宋体" w:cs="Times New Roman"/>
          <w:snapToGrid/>
          <w:color w:val="auto"/>
          <w:sz w:val="20"/>
          <w:szCs w:val="20"/>
          <w:lang w:val="zh-CN" w:eastAsia="zh-CN" w:bidi="ar-SA"/>
        </w:rPr>
        <w:fldChar w:fldCharType="end"/>
      </w:r>
      <w:r>
        <w:rPr>
          <w:rFonts w:hint="eastAsia" w:ascii="Times New Roman" w:hAnsi="Times New Roman" w:eastAsia="宋体" w:cs="Times New Roman"/>
          <w:snapToGrid/>
          <w:color w:val="auto"/>
          <w:sz w:val="20"/>
          <w:szCs w:val="20"/>
          <w:lang w:val="zh-CN" w:eastAsia="zh-CN" w:bidi="ar-SA"/>
        </w:rPr>
        <w:t xml:space="preserve"> and Social Cognitive Theory</w:t>
      </w:r>
      <w:r>
        <w:rPr>
          <w:rFonts w:hint="eastAsia" w:ascii="Times New Roman" w:hAnsi="Times New Roman" w:eastAsia="宋体" w:cs="Times New Roman"/>
          <w:snapToGrid/>
          <w:color w:val="auto"/>
          <w:sz w:val="20"/>
          <w:szCs w:val="20"/>
          <w:lang w:val="zh-CN" w:eastAsia="zh-CN" w:bidi="ar-SA"/>
        </w:rPr>
        <w:fldChar w:fldCharType="begin"/>
      </w:r>
      <w:r>
        <w:rPr>
          <w:rFonts w:hint="eastAsia" w:ascii="Times New Roman" w:hAnsi="Times New Roman" w:eastAsia="宋体" w:cs="Times New Roman"/>
          <w:snapToGrid/>
          <w:color w:val="auto"/>
          <w:sz w:val="20"/>
          <w:szCs w:val="20"/>
          <w:lang w:val="zh-CN" w:eastAsia="zh-CN" w:bidi="ar-SA"/>
        </w:rPr>
        <w:instrText xml:space="preserve"> ADDIN ZOTERO_ITEM CSL_CITATION {"citationID":"a1hvkvo21hp","properties":{"formattedCitation":"&lt;sup&gt;19&lt;/sup&gt;","plainCitation":"19","noteIndex":0},"citationItems":[{"id":1122,"uris":["http://zotero.org/groups/6329368/items/M52V83HU"],"itemData":{"id":1122,"type":"article-journal","abstract":"As artificial intelligence (AI) technologies rapidly integrate into higher education, they impose increasing demands on the teaching approaches and digital competence of physical education teachers. However, the relationship between physical education teachers’ behavioral intention to use AI and their digital competence remains underexplored. This study focuses on college physical education teachers and examines the relationship between their intention to use AI and their digital competence. Grounded in Social Cognitive Theory (SCT) and the Unified Theory of Acceptance and Use of Technology (UTAUT), the study proposes a structural equation model incorporating behavioral intention, self-efficacy, social influence, and digital competence, with gender as a moderating variable. A questionnaire survey was conducted among 479 physical education teachers from ten universities in mainland China, and the model was tested using AMOS and SPSS. The results indicate that teachers’ behavioral intention to use AI is positively associated with their self-efficacy, perceived social influence, and digital competence, with both self-efficacy and social influence serving as significant mediators. Furthermore, self-efficacy is positively related to social influence, while gender does not exert a significant moderating effect on any of the proposed paths. This study contributes to the integrated application of SCT and UTAUT in the context of physical education in higher education and offers theoretical and practical implications for enhancing digital competence and promoting intelligent transformation among college physical education teachers.","container-title":"PLOS ONE","DOI":"10.1371/journal.pone.0334699","ISSN":"1932-6203","issue":"11","journalAbbreviation":"PLOS ONE","language":"en","page":"e0334699","publisher":"Public Library of Science","source":"PLoS Journals","title":"Exploring the link between AI usage intention and digital competence among college PE teachers: A moderated mediation model based on SCT and UTAUT","title-short":"Exploring the link between AI usage intention and digital competence among college PE teachers","volume":"20","author":[{"family":"Yi","given":"Rong"},{"family":"Liu","given":"Dinghua"},{"family":"Sun","given":"Xu"},{"family":"Zhou","given":"Bo"}],"issued":{"date-parts":[["2025",11,21]]}}}],"schema":"https://github.com/citation-style-language/schema/raw/master/csl-citation.json"} </w:instrText>
      </w:r>
      <w:r>
        <w:rPr>
          <w:rFonts w:hint="eastAsia" w:ascii="Times New Roman" w:hAnsi="Times New Roman" w:eastAsia="宋体" w:cs="Times New Roman"/>
          <w:snapToGrid/>
          <w:color w:val="auto"/>
          <w:sz w:val="20"/>
          <w:szCs w:val="20"/>
          <w:lang w:val="zh-CN" w:eastAsia="zh-CN" w:bidi="ar-SA"/>
        </w:rPr>
        <w:fldChar w:fldCharType="separate"/>
      </w:r>
      <w:r>
        <w:rPr>
          <w:rFonts w:hint="eastAsia" w:ascii="Times New Roman" w:hAnsi="Times New Roman" w:eastAsia="宋体" w:cs="Times New Roman"/>
          <w:snapToGrid/>
          <w:color w:val="auto"/>
          <w:sz w:val="20"/>
          <w:szCs w:val="20"/>
          <w:vertAlign w:val="superscript"/>
          <w:lang w:val="zh-CN" w:eastAsia="zh-CN" w:bidi="ar-SA"/>
        </w:rPr>
        <w:t>19</w:t>
      </w:r>
      <w:r>
        <w:rPr>
          <w:rFonts w:hint="eastAsia" w:ascii="Times New Roman" w:hAnsi="Times New Roman" w:eastAsia="宋体" w:cs="Times New Roman"/>
          <w:snapToGrid/>
          <w:color w:val="auto"/>
          <w:sz w:val="20"/>
          <w:szCs w:val="20"/>
          <w:lang w:val="zh-CN" w:eastAsia="zh-CN" w:bidi="ar-SA"/>
        </w:rPr>
        <w:fldChar w:fldCharType="end"/>
      </w:r>
      <w:r>
        <w:rPr>
          <w:rFonts w:hint="eastAsia" w:ascii="Times New Roman" w:hAnsi="Times New Roman" w:eastAsia="宋体" w:cs="Times New Roman"/>
          <w:snapToGrid/>
          <w:color w:val="auto"/>
          <w:sz w:val="20"/>
          <w:szCs w:val="20"/>
          <w:lang w:val="zh-CN" w:eastAsia="zh-CN" w:bidi="ar-SA"/>
        </w:rPr>
        <w:t>, or focus narrowly on technology acceptance</w:t>
      </w:r>
      <w:r>
        <w:rPr>
          <w:rFonts w:hint="eastAsia" w:ascii="Times New Roman" w:hAnsi="Times New Roman" w:eastAsia="宋体" w:cs="Times New Roman"/>
          <w:snapToGrid/>
          <w:color w:val="auto"/>
          <w:sz w:val="20"/>
          <w:szCs w:val="20"/>
          <w:lang w:val="zh-CN" w:eastAsia="zh-CN" w:bidi="ar-SA"/>
        </w:rPr>
        <w:fldChar w:fldCharType="begin"/>
      </w:r>
      <w:r>
        <w:rPr>
          <w:rFonts w:hint="eastAsia" w:ascii="Times New Roman" w:hAnsi="Times New Roman" w:eastAsia="宋体" w:cs="Times New Roman"/>
          <w:snapToGrid/>
          <w:color w:val="auto"/>
          <w:sz w:val="20"/>
          <w:szCs w:val="20"/>
          <w:lang w:val="zh-CN" w:eastAsia="zh-CN" w:bidi="ar-SA"/>
        </w:rPr>
        <w:instrText xml:space="preserve"> ADDIN ZOTERO_ITEM CSL_CITATION {"citationID":"a1q3ns0p00a","properties":{"formattedCitation":"&lt;sup&gt;20&lt;/sup&gt;","plainCitation":"20","noteIndex":0},"citationItems":[{"id":1124,"uris":["http://zotero.org/groups/6329368/items/PMZ62PSS"],"itemData":{"id":1124,"type":"article-journal","abstract":"Integration of ChatGPT into higher education requires assessing university educators'\n         perspectives regarding this novel technology. This study aimed to validate a survey\n         instrument specifically tailored to assess ChatGPT usability and acceptability among\n         university educators based on the Technology Acceptance Model (TAM). The survey instrument\n         comprised 40 TAM-based items in addition to items assessing participants' demographics.\n         We used exploratory factor analysis (EFA) with principal component analysis (PCA)\n         to assess construct validity and Cronbach's alpha for reliability. The final sample\n         comprised 236 university educators, with 72% who heard of ChatGPT before the study\n         (n equivalent 169), of whom 76 have already used ChatGPT (45.0%). The EFA showed a\n         significant Bartlett's test of sphericity (p &lt; 0.001) and adequate Kaiser-Meyer-Olkin\n         measure (KMO equivalent 0.698). The six constructs inferred through EFA explained\n         a total of 64% of the variance in the educators' attitude to ChatGPT. These constructs\n         comprised 31 items classified into: (1) \"Effectiveness\" (alpha equivalent 0.845),\n         (2) \"Anxiety\" (alpha equivalent 0.862), (3) \"Technology readiness (alpha equivalent\n         0.885), (4) Perceived usefulness (alpha equivalent 0.848), (5) Social influence (alpha\n         equivalent 0.803), and (6) Perceived risk (alpha equivalent 0.796). The study identified\n         six key constructs that can be exploited for comprehensive understanding of the university\n         educators' attitude towards ChatGPT. The novel survey instrument herein termed \"Ed-TAME-ChatGPT\"\n         involved positive influencing factors such as perceived usefulness and effectiveness,\n         positive attitude to technology, and social influence in addition to negative factors\n         comprising anxiety and perceived risk.","container-title":"Open Praxis","DOI":"10.3316/informit.T2025042400007091742547222","issue":"1","page":"129-144","publisher":"International Council for Open and Distance Education","source":"search.informit.org (Atypon)","title":"University educators perspectives on ChatGPT: A technology acceptance model-based study","title-short":"University educators perspectives on ChatGPT","volume":"17","author":[{"family":"Barakat","given":"Muna"},{"family":"Salim","given":"Nesreen A."},{"family":"Sallam","given":"Malik"}],"issued":{"date-parts":[["2025",2]]}}}],"schema":"https://github.com/citation-style-language/schema/raw/master/csl-citation.json"} </w:instrText>
      </w:r>
      <w:r>
        <w:rPr>
          <w:rFonts w:hint="eastAsia" w:ascii="Times New Roman" w:hAnsi="Times New Roman" w:eastAsia="宋体" w:cs="Times New Roman"/>
          <w:snapToGrid/>
          <w:color w:val="auto"/>
          <w:sz w:val="20"/>
          <w:szCs w:val="20"/>
          <w:lang w:val="zh-CN" w:eastAsia="zh-CN" w:bidi="ar-SA"/>
        </w:rPr>
        <w:fldChar w:fldCharType="separate"/>
      </w:r>
      <w:r>
        <w:rPr>
          <w:rFonts w:hint="eastAsia" w:ascii="Times New Roman" w:hAnsi="Times New Roman" w:eastAsia="宋体" w:cs="Times New Roman"/>
          <w:snapToGrid/>
          <w:color w:val="auto"/>
          <w:sz w:val="20"/>
          <w:szCs w:val="20"/>
          <w:vertAlign w:val="superscript"/>
          <w:lang w:val="zh-CN" w:eastAsia="zh-CN" w:bidi="ar-SA"/>
        </w:rPr>
        <w:t>20</w:t>
      </w:r>
      <w:r>
        <w:rPr>
          <w:rFonts w:hint="eastAsia" w:ascii="Times New Roman" w:hAnsi="Times New Roman" w:eastAsia="宋体" w:cs="Times New Roman"/>
          <w:snapToGrid/>
          <w:color w:val="auto"/>
          <w:sz w:val="20"/>
          <w:szCs w:val="20"/>
          <w:lang w:val="zh-CN" w:eastAsia="zh-CN" w:bidi="ar-SA"/>
        </w:rPr>
        <w:fldChar w:fldCharType="end"/>
      </w:r>
      <w:r>
        <w:rPr>
          <w:rFonts w:hint="eastAsia" w:ascii="Times New Roman" w:hAnsi="Times New Roman" w:eastAsia="宋体" w:cs="Times New Roman"/>
          <w:snapToGrid/>
          <w:color w:val="auto"/>
          <w:sz w:val="20"/>
          <w:szCs w:val="20"/>
          <w:lang w:val="zh-CN" w:eastAsia="zh-CN" w:bidi="ar-SA"/>
        </w:rPr>
        <w:t>, without integrating these cognitive and emotional dimensions. Furthermore, measurement approaches vary widely, ranging from qualitative anecdotal reflections</w:t>
      </w:r>
      <w:r>
        <w:rPr>
          <w:rFonts w:hint="eastAsia" w:ascii="Times New Roman" w:hAnsi="Times New Roman" w:eastAsia="宋体" w:cs="Times New Roman"/>
          <w:snapToGrid/>
          <w:color w:val="auto"/>
          <w:sz w:val="20"/>
          <w:szCs w:val="20"/>
          <w:lang w:val="zh-CN" w:eastAsia="zh-CN" w:bidi="ar-SA"/>
        </w:rPr>
        <w:fldChar w:fldCharType="begin"/>
      </w:r>
      <w:r>
        <w:rPr>
          <w:rFonts w:hint="eastAsia" w:ascii="Times New Roman" w:hAnsi="Times New Roman" w:eastAsia="宋体" w:cs="Times New Roman"/>
          <w:snapToGrid/>
          <w:color w:val="auto"/>
          <w:sz w:val="20"/>
          <w:szCs w:val="20"/>
          <w:lang w:val="zh-CN" w:eastAsia="zh-CN" w:bidi="ar-SA"/>
        </w:rPr>
        <w:instrText xml:space="preserve"> ADDIN ZOTERO_ITEM CSL_CITATION {"citationID":"a2da01fr6f3","properties":{"formattedCitation":"&lt;sup&gt;21&lt;/sup&gt;","plainCitation":"21","noteIndex":0},"citationItems":[{"id":1126,"uris":["http://zotero.org/groups/6329368/items/9M5CKF2B"],"itemData":{"id":1126,"type":"article-journal","abstract":"IntroductionMedia students' acceptance and use of intelligent technology requires not only external environmental support but also the stimulation of internal driving forces. This study incorporates mindfulness into the classical Technology Acceptance Model (TAM) to investigate its role in shaping students' perceptions and behavioral intentions toward artificial intelligence (AI) tools. Specifically, the research examines: (1) the impact of mindfulness on media students' perceptions of AI technology; (2) the influence of mindfulness on their continuous intention to use AI technology; and (3) the moderating effect of perceived risk on the intention to adopt AI tools.MethodsBased on a conceptual model integrating mindfulness with TAM, this study conducted an offline questionnaire survey among 588 media students. The data were analyzed using SmartPLS and SPSS to test the structural equation modeling and moderating effects.ResultsThe findings revealed three key outcomes. First, mindfulness exerts a significant, direct, and positive influence on personal innovativeness (PI), perceived usefulness (PU), and perceived ease of use (PEU). Second, PI functions as a mediating variable in the relationship between mindfulness and AI-based behavioral intention (AIBI). Third, perceived risk (PR) significantly weakens the relationships between PI, PU, and AIBI.DiscussionThis study demonstrates that mindfulness enhances media students' intention to adopt AI tools by strengthening their perceptions of usefulness, ease of use, and personal innovativeness. However, perceived risk undermines these positive effects. By integrating mindfulness into the Technology Acceptance Model (TAM), this research extends the theoretical understanding of AI technology acceptance and provides practical insights for media education. The findings highlight that embedding mindfulness training and reducing perceived risks can effectively foster rational acceptance and the innovative application of AI tools, thereby contributing to the cultivation of intelligent media talent.","container-title":"Frontiers in Psychology","DOI":"10.3389/fpsyg.2025.1637502","ISSN":"1664-1078","journalAbbreviation":"Front. Psychol.","language":"English","publisher":"Frontiers","source":"Frontiers","title":"Mindfulness and AI adoption: extending the technology acceptance model for Chinese media students","title-short":"Mindfulness and AI adoption","URL":"https://www.frontiersin.org/journals/psychology/articles/10.3389/fpsyg.2025.1637502/full","volume":"16","author":[{"family":"Lan","given":"Yanling"},{"family":"Liu","given":"Sihang"},{"family":"Chen","given":"Hao"},{"family":"Xia","given":"Linjie"}],"accessed":{"date-parts":[["2025",12,16]]},"issued":{"date-parts":[["2025",9,3]]}}}],"schema":"https://github.com/citation-style-language/schema/raw/master/csl-citation.json"} </w:instrText>
      </w:r>
      <w:r>
        <w:rPr>
          <w:rFonts w:hint="eastAsia" w:ascii="Times New Roman" w:hAnsi="Times New Roman" w:eastAsia="宋体" w:cs="Times New Roman"/>
          <w:snapToGrid/>
          <w:color w:val="auto"/>
          <w:sz w:val="20"/>
          <w:szCs w:val="20"/>
          <w:lang w:val="zh-CN" w:eastAsia="zh-CN" w:bidi="ar-SA"/>
        </w:rPr>
        <w:fldChar w:fldCharType="separate"/>
      </w:r>
      <w:r>
        <w:rPr>
          <w:rFonts w:hint="eastAsia" w:ascii="Times New Roman" w:hAnsi="Times New Roman" w:eastAsia="宋体" w:cs="Times New Roman"/>
          <w:snapToGrid/>
          <w:color w:val="auto"/>
          <w:sz w:val="20"/>
          <w:szCs w:val="20"/>
          <w:vertAlign w:val="superscript"/>
          <w:lang w:val="zh-CN" w:eastAsia="zh-CN" w:bidi="ar-SA"/>
        </w:rPr>
        <w:t>21</w:t>
      </w:r>
      <w:r>
        <w:rPr>
          <w:rFonts w:hint="eastAsia" w:ascii="Times New Roman" w:hAnsi="Times New Roman" w:eastAsia="宋体" w:cs="Times New Roman"/>
          <w:snapToGrid/>
          <w:color w:val="auto"/>
          <w:sz w:val="20"/>
          <w:szCs w:val="20"/>
          <w:lang w:val="zh-CN" w:eastAsia="zh-CN" w:bidi="ar-SA"/>
        </w:rPr>
        <w:fldChar w:fldCharType="end"/>
      </w:r>
      <w:r>
        <w:rPr>
          <w:rFonts w:hint="eastAsia" w:ascii="Times New Roman" w:hAnsi="Times New Roman" w:eastAsia="宋体" w:cs="Times New Roman"/>
          <w:snapToGrid/>
          <w:color w:val="auto"/>
          <w:sz w:val="20"/>
          <w:szCs w:val="20"/>
          <w:lang w:val="zh-CN" w:eastAsia="zh-CN" w:bidi="ar-SA"/>
        </w:rPr>
        <w:t xml:space="preserve"> to unstandardized psychological scales</w:t>
      </w:r>
      <w:r>
        <w:rPr>
          <w:rFonts w:hint="eastAsia" w:ascii="Times New Roman" w:hAnsi="Times New Roman" w:eastAsia="宋体" w:cs="Times New Roman"/>
          <w:snapToGrid/>
          <w:color w:val="auto"/>
          <w:sz w:val="20"/>
          <w:szCs w:val="20"/>
          <w:lang w:val="zh-CN" w:eastAsia="zh-CN" w:bidi="ar-SA"/>
        </w:rPr>
        <w:fldChar w:fldCharType="begin"/>
      </w:r>
      <w:r>
        <w:rPr>
          <w:rFonts w:hint="eastAsia" w:ascii="Times New Roman" w:hAnsi="Times New Roman" w:eastAsia="宋体" w:cs="Times New Roman"/>
          <w:snapToGrid/>
          <w:color w:val="auto"/>
          <w:sz w:val="20"/>
          <w:szCs w:val="20"/>
          <w:lang w:val="zh-CN" w:eastAsia="zh-CN" w:bidi="ar-SA"/>
        </w:rPr>
        <w:instrText xml:space="preserve"> ADDIN ZOTERO_ITEM CSL_CITATION {"citationID":"aogrc84u5l","properties":{"formattedCitation":"&lt;sup&gt;22&lt;/sup&gt;","plainCitation":"22","noteIndex":0},"citationItems":[{"id":1128,"uris":["http://zotero.org/groups/6329368/items/A396TIH4"],"itemData":{"id":1128,"type":"article-journal","abstract":"Generative AI technologies are rapidly transforming educational practices, creating both opportunities and challenges for teacher-preparation programs. As these advanced tools become increasingly prevalent in classrooms, understanding the factors that influence pre-service teachers' acceptance and adoption of such technologies has become critically important for effective educational policies and practices. This study aims to extend the Technology Acceptance Model (TAM) to examine the factors influencing pre-service teachers' adoption of generative AI tools. The research is based on data collected from 748 pre-service teachers from 12 universities in Turkey. The model includes the core constructs of TAM as well as exogenous variables such as Metacognitive Self-regulation (MSR), Subjective Norm (SN), Learning Motivation (LM) and Learning Agility (LA). The results of Structural Equation Modeling showed that the model explained 54% of the variance in Attitude and 51% of the variance in Behavioral Intention. MSR and LM had significant effects on Perceived Usefulness and Perceived Ease of Use, while LA and SN were found to be effective only on Perceived Ease of Use. These findings highlight that intrinsic cognitive and motivational factors are more influential than external social factors in determining how pre-service teachers evaluate the usefulness of generative AI tools. Additionally, our study reveals that learning agility significantly contributes to perceived ease of use, suggesting that adaptability is a key factor in technological adoption among educators. These results suggest that training programs for generative AI in teacher education should prioritize hands-on activities that strengthen self-regulation skills and intrinsic motivation, rather than focusing solely on technical features. Curriculum designers and teacher educators should create learning environments that nurture adaptability and metacognitive skills to facilitate successful integration of AI technologies in future educational practices.","container-title":"Education and Information Technologies","DOI":"10.1007/s10639-025-13591-9","ISSN":"1573-7608","issue":"15","journalAbbreviation":"Educ Inf Technol","language":"en","page":"20913-20942","source":"Springer Link","title":"Extending the TAM framework: Exploring learning motivation and agility in educational adoption of generative AI","title-short":"Extending the TAM framework","volume":"30","author":[{"family":"Şimşek","given":"Ahmet Salih"},{"family":"Cengiz","given":"Gülüzar Şule Tepetaş"},{"family":"Bal","given":"Mazhar"}],"issued":{"date-parts":[["2025",10,1]]}}}],"schema":"https://github.com/citation-style-language/schema/raw/master/csl-citation.json"} </w:instrText>
      </w:r>
      <w:r>
        <w:rPr>
          <w:rFonts w:hint="eastAsia" w:ascii="Times New Roman" w:hAnsi="Times New Roman" w:eastAsia="宋体" w:cs="Times New Roman"/>
          <w:snapToGrid/>
          <w:color w:val="auto"/>
          <w:sz w:val="20"/>
          <w:szCs w:val="20"/>
          <w:lang w:val="zh-CN" w:eastAsia="zh-CN" w:bidi="ar-SA"/>
        </w:rPr>
        <w:fldChar w:fldCharType="separate"/>
      </w:r>
      <w:r>
        <w:rPr>
          <w:rFonts w:hint="eastAsia" w:ascii="Times New Roman" w:hAnsi="Times New Roman" w:eastAsia="宋体" w:cs="Times New Roman"/>
          <w:snapToGrid/>
          <w:color w:val="auto"/>
          <w:sz w:val="20"/>
          <w:szCs w:val="20"/>
          <w:vertAlign w:val="superscript"/>
          <w:lang w:val="zh-CN" w:eastAsia="zh-CN" w:bidi="ar-SA"/>
        </w:rPr>
        <w:t>22</w:t>
      </w:r>
      <w:r>
        <w:rPr>
          <w:rFonts w:hint="eastAsia" w:ascii="Times New Roman" w:hAnsi="Times New Roman" w:eastAsia="宋体" w:cs="Times New Roman"/>
          <w:snapToGrid/>
          <w:color w:val="auto"/>
          <w:sz w:val="20"/>
          <w:szCs w:val="20"/>
          <w:lang w:val="zh-CN" w:eastAsia="zh-CN" w:bidi="ar-SA"/>
        </w:rPr>
        <w:fldChar w:fldCharType="end"/>
      </w:r>
      <w:r>
        <w:rPr>
          <w:rFonts w:hint="eastAsia" w:ascii="Times New Roman" w:hAnsi="Times New Roman" w:eastAsia="宋体" w:cs="Times New Roman"/>
          <w:snapToGrid/>
          <w:color w:val="auto"/>
          <w:sz w:val="20"/>
          <w:szCs w:val="20"/>
          <w:lang w:val="zh-CN" w:eastAsia="zh-CN" w:bidi="ar-SA"/>
        </w:rPr>
        <w:t>, making direct synthesis difficult. Third, critical modulators of the creative experience remain underexplored, particularly individual learner differences like personality traits</w:t>
      </w:r>
      <w:r>
        <w:rPr>
          <w:rFonts w:hint="eastAsia" w:ascii="Times New Roman" w:hAnsi="Times New Roman" w:eastAsia="宋体" w:cs="Times New Roman"/>
          <w:snapToGrid/>
          <w:color w:val="auto"/>
          <w:sz w:val="20"/>
          <w:szCs w:val="20"/>
          <w:lang w:val="zh-CN" w:eastAsia="zh-CN" w:bidi="ar-SA"/>
        </w:rPr>
        <w:fldChar w:fldCharType="begin"/>
      </w:r>
      <w:r>
        <w:rPr>
          <w:rFonts w:hint="eastAsia" w:ascii="Times New Roman" w:hAnsi="Times New Roman" w:eastAsia="宋体" w:cs="Times New Roman"/>
          <w:snapToGrid/>
          <w:color w:val="auto"/>
          <w:sz w:val="20"/>
          <w:szCs w:val="20"/>
          <w:lang w:val="zh-CN" w:eastAsia="zh-CN" w:bidi="ar-SA"/>
        </w:rPr>
        <w:instrText xml:space="preserve"> ADDIN ZOTERO_ITEM CSL_CITATION {"citationID":"a2f1i5tln3e","properties":{"formattedCitation":"&lt;sup&gt;23&lt;/sup&gt;","plainCitation":"23","noteIndex":0},"citationItems":[{"id":767,"uris":["http://zotero.org/groups/6329368/items/N8T5VGY6"],"itemData":{"id":767,"type":"article-journal","abstract":"BackgroundAcademic misconduct among students is common, particularly now that AI tools are widely available. Students with dark personality traits may be more likely to engage in misconduct. Drawing on social cognitive theory, this study examines how the dark personality traits of materialism, narcissism, psychopathy, and Machiavellianism are associated with academic dishonesty, anxiety, and procrastination, and, in turn, frustration, negative thinking and generative AI use habits.MethodSelf-reported data from 504 Chinese university art students were analyzed using structural equation modeling.ResultsResults showed that dark personality traits were significantly associated with academic dishonesty, anxiety, and procrastination, and that these markers of academic misbehavior were linked to increased frustration, negative thinking, and generative AI use.ConclusionThe findings highlight how personality traits are related to problematic academic behaviors and psychological difficulties. Academic institutions should provide appropriate training and psychological support to counter academic dishonesty and ensure students understand the value of academic ethics.","archive_location":"WOS:001522899700043","container-title":"BMC PSYCHOLOGY","DOI":"10.1186/s40359-025-02949-w","ISSN":"2050-7283","issue":"1","language":"English","title":"Dark personality traits are associated with academic misconduct, frustration, negative thinking, and generative AI use habits: the case of Sichuan art universities","volume":"13","author":[{"family":"Song","given":"JY"},{"family":"Liu","given":"SY"}],"issued":{"date-parts":[["2025",7,1]]}}}],"schema":"https://github.com/citation-style-language/schema/raw/master/csl-citation.json"} </w:instrText>
      </w:r>
      <w:r>
        <w:rPr>
          <w:rFonts w:hint="eastAsia" w:ascii="Times New Roman" w:hAnsi="Times New Roman" w:eastAsia="宋体" w:cs="Times New Roman"/>
          <w:snapToGrid/>
          <w:color w:val="auto"/>
          <w:sz w:val="20"/>
          <w:szCs w:val="20"/>
          <w:lang w:val="zh-CN" w:eastAsia="zh-CN" w:bidi="ar-SA"/>
        </w:rPr>
        <w:fldChar w:fldCharType="separate"/>
      </w:r>
      <w:r>
        <w:rPr>
          <w:rFonts w:hint="eastAsia" w:ascii="Times New Roman" w:hAnsi="Times New Roman" w:eastAsia="宋体" w:cs="Times New Roman"/>
          <w:snapToGrid/>
          <w:color w:val="auto"/>
          <w:sz w:val="20"/>
          <w:szCs w:val="20"/>
          <w:vertAlign w:val="superscript"/>
          <w:lang w:val="zh-CN" w:eastAsia="zh-CN" w:bidi="ar-SA"/>
        </w:rPr>
        <w:t>23</w:t>
      </w:r>
      <w:r>
        <w:rPr>
          <w:rFonts w:hint="eastAsia" w:ascii="Times New Roman" w:hAnsi="Times New Roman" w:eastAsia="宋体" w:cs="Times New Roman"/>
          <w:snapToGrid/>
          <w:color w:val="auto"/>
          <w:sz w:val="20"/>
          <w:szCs w:val="20"/>
          <w:lang w:val="zh-CN" w:eastAsia="zh-CN" w:bidi="ar-SA"/>
        </w:rPr>
        <w:fldChar w:fldCharType="end"/>
      </w:r>
      <w:r>
        <w:rPr>
          <w:rFonts w:hint="eastAsia" w:ascii="Times New Roman" w:hAnsi="Times New Roman" w:eastAsia="宋体" w:cs="Times New Roman"/>
          <w:snapToGrid/>
          <w:color w:val="auto"/>
          <w:sz w:val="20"/>
          <w:szCs w:val="20"/>
          <w:lang w:val="zh-CN" w:eastAsia="zh-CN" w:bidi="ar-SA"/>
        </w:rPr>
        <w:t>, cross-cultural variations in adoption</w:t>
      </w:r>
      <w:r>
        <w:rPr>
          <w:rFonts w:hint="eastAsia" w:ascii="Times New Roman" w:hAnsi="Times New Roman" w:eastAsia="宋体" w:cs="Times New Roman"/>
          <w:snapToGrid/>
          <w:color w:val="auto"/>
          <w:sz w:val="20"/>
          <w:szCs w:val="20"/>
          <w:lang w:val="zh-CN" w:eastAsia="zh-CN" w:bidi="ar-SA"/>
        </w:rPr>
        <w:fldChar w:fldCharType="begin"/>
      </w:r>
      <w:r>
        <w:rPr>
          <w:rFonts w:hint="eastAsia" w:ascii="Times New Roman" w:hAnsi="Times New Roman" w:eastAsia="宋体" w:cs="Times New Roman"/>
          <w:snapToGrid/>
          <w:color w:val="auto"/>
          <w:sz w:val="20"/>
          <w:szCs w:val="20"/>
          <w:lang w:val="zh-CN" w:eastAsia="zh-CN" w:bidi="ar-SA"/>
        </w:rPr>
        <w:instrText xml:space="preserve"> ADDIN ZOTERO_ITEM CSL_CITATION {"citationID":"ar1opqkjnv","properties":{"formattedCitation":"&lt;sup&gt;24&lt;/sup&gt;","plainCitation":"24","noteIndex":0},"citationItems":[{"id":1132,"uris":["http://zotero.org/groups/6329368/items/RXXWSI6Q"],"itemData":{"id":1132,"type":"article-journal","abstract":"This study investigates how personality traits, specifically those measured by the HEXACO Personality Inventory and the Dark Triad, predict university students’ attitudes toward generative artificial intelligence (GAI) and their engagement in GAI-related academic misconduct. The first objective was to develop and validate a Chinese-language scale to measure students’ attitudes toward GAI in academic contexts. The newly developed GAI Attitudes Scale was tested for psychometric properties, showing high internal consistency (Cronbach’s α = 0.92) and reliability. In the second part of the study, hierarchical linear regression analyses explored the relationship between personality traits and both GAI attitudes and misconduct behaviors. Findings indicated that Extraversion and Openness to Experience were significant positive predictors of favorable GAI attitudes. Regarding misconduct behaviors, Honesty-Humility, Agreeableness, and Conscientiousness were significant negative predictors, while Narcissism and Psychopathy were significant positive predictors. Notably, GAI attitudes did not provide additional predictive value for misconduct beyond personality traits. Taken together, the findings demonstrate that personality traits are central to understanding both the adoption and misuse of GAI in academic contexts, providing important insights for fostering ethical engagement with emerging technologies.","container-title":"Scientific Reports","DOI":"10.1038/s41598-025-25744-4","ISSN":"2045-2322","issue":"1","journalAbbreviation":"Sci Rep","language":"en","license":"2025 The Author(s)","page":"41787","publisher":"Nature Publishing Group","source":"www.nature.com","title":"Personality traits measured by the HEXACO personality inventory and the dark triad predict university students’ attitudes and misconduct behaviors related to generative artificial intelligence","volume":"15","author":[{"family":"Liang","given":"Haiying"},{"family":"Mao","given":"Xu"},{"family":"Reiss","given":"Michael J."}],"issued":{"date-parts":[["2025",11,25]]}}}],"schema":"https://github.com/citation-style-language/schema/raw/master/csl-citation.json"} </w:instrText>
      </w:r>
      <w:r>
        <w:rPr>
          <w:rFonts w:hint="eastAsia" w:ascii="Times New Roman" w:hAnsi="Times New Roman" w:eastAsia="宋体" w:cs="Times New Roman"/>
          <w:snapToGrid/>
          <w:color w:val="auto"/>
          <w:sz w:val="20"/>
          <w:szCs w:val="20"/>
          <w:lang w:val="zh-CN" w:eastAsia="zh-CN" w:bidi="ar-SA"/>
        </w:rPr>
        <w:fldChar w:fldCharType="separate"/>
      </w:r>
      <w:r>
        <w:rPr>
          <w:rFonts w:hint="eastAsia" w:ascii="Times New Roman" w:hAnsi="Times New Roman" w:eastAsia="宋体" w:cs="Times New Roman"/>
          <w:snapToGrid/>
          <w:color w:val="auto"/>
          <w:sz w:val="20"/>
          <w:szCs w:val="20"/>
          <w:vertAlign w:val="superscript"/>
          <w:lang w:val="zh-CN" w:eastAsia="zh-CN" w:bidi="ar-SA"/>
        </w:rPr>
        <w:t>24</w:t>
      </w:r>
      <w:r>
        <w:rPr>
          <w:rFonts w:hint="eastAsia" w:ascii="Times New Roman" w:hAnsi="Times New Roman" w:eastAsia="宋体" w:cs="Times New Roman"/>
          <w:snapToGrid/>
          <w:color w:val="auto"/>
          <w:sz w:val="20"/>
          <w:szCs w:val="20"/>
          <w:lang w:val="zh-CN" w:eastAsia="zh-CN" w:bidi="ar-SA"/>
        </w:rPr>
        <w:fldChar w:fldCharType="end"/>
      </w:r>
      <w:r>
        <w:rPr>
          <w:rFonts w:hint="eastAsia" w:ascii="Times New Roman" w:hAnsi="Times New Roman" w:eastAsia="宋体" w:cs="Times New Roman"/>
          <w:snapToGrid/>
          <w:color w:val="auto"/>
          <w:sz w:val="20"/>
          <w:szCs w:val="20"/>
          <w:lang w:val="zh-CN" w:eastAsia="zh-CN" w:bidi="ar-SA"/>
        </w:rPr>
        <w:t>, and emerging ethical anxieties regarding authorship and intellectual property</w:t>
      </w:r>
      <w:r>
        <w:rPr>
          <w:rFonts w:hint="eastAsia" w:ascii="Times New Roman" w:hAnsi="Times New Roman" w:eastAsia="宋体" w:cs="Times New Roman"/>
          <w:snapToGrid/>
          <w:color w:val="auto"/>
          <w:sz w:val="20"/>
          <w:szCs w:val="20"/>
          <w:lang w:val="zh-CN" w:eastAsia="zh-CN" w:bidi="ar-SA"/>
        </w:rPr>
        <w:fldChar w:fldCharType="begin"/>
      </w:r>
      <w:r>
        <w:rPr>
          <w:rFonts w:hint="eastAsia" w:ascii="Times New Roman" w:hAnsi="Times New Roman" w:eastAsia="宋体" w:cs="Times New Roman"/>
          <w:snapToGrid/>
          <w:color w:val="auto"/>
          <w:sz w:val="20"/>
          <w:szCs w:val="20"/>
          <w:lang w:val="zh-CN" w:eastAsia="zh-CN" w:bidi="ar-SA"/>
        </w:rPr>
        <w:instrText xml:space="preserve"> ADDIN ZOTERO_ITEM CSL_CITATION {"citationID":"am3hbnjclj","properties":{"formattedCitation":"&lt;sup&gt;25,26&lt;/sup&gt;","plainCitation":"25,26","noteIndex":0},"citationItems":[{"id":1118,"uris":["http://zotero.org/groups/6329368/items/FKCCFNBU"],"itemData":{"id":1118,"type":"article-journal","abstract":"This paper examines the profound impact of artificial intelligence (AI) and geopolitics on cross-border higher education cooperation. AI has the potential to enhance educational accessibility and collaboration efficiency by enabling personalized learning, virtual classrooms, open resource platforms, and open-source research collaborations, ultimately helping bridge global educational gaps. However, significant challenges arise, such as techno-nationalism (e.g., semiconductor export controls), data sovereignty conflicts (e.g., GDPR restrictions), divergent algorithmic values, and the expanding digital divide. To address these challenges, this study proposes several solutions: the creation of an inclusive technological ecosystem (including open-source platforms, shared computing power, and cross-cultural models); the development of mutual recognition mechanisms (such as data stratification and standard harmonization); the strengthening of South-South cooperation through digital public goods; and the reconstruction of ethical consensus, emphasizing cultural diversity and human-in-the-loop principles. Notably, China has actively contributed to these efforts through technological empowerment (e.g., National Smart Education Platform, Luban Workshops), regulatory input (e.g., Global Governance Initiative), and infrastructure support. Looking ahead, the paper argues for the establishment of an “Intelligent Education Community,” guided by the principles of “extensive consultation, joint contribution, shared benefits, and wise governance,” to ensure that AI advances global educational equity and promotes human progress.","container-title":"Frontiers in Education","DOI":"10.3389/feduc.2025.1656518","ISSN":"2504-284X","journalAbbreviation":"Front. Educ.","language":"English","publisher":"Frontiers","source":"Frontiers","title":"Cross-border higher education cooperation under the dual context of artificial intelligence and geopolitics: opportunities, challenges, and pathways","title-short":"Cross-border higher education cooperation under the dual context of artificial intelligence and geopolitics","URL":"https://www.frontiersin.org/journals/education/articles/10.3389/feduc.2025.1656518/full","volume":"10","author":[{"family":"Zhu","given":"Yaoshun"},{"family":"Zhu","given":"Zhitao"},{"family":"Xu","given":"Wanxian"},{"family":"Zhu","given":"Yaoshun"}],"accessed":{"date-parts":[["2025",12,16]]},"issued":{"date-parts":[["2025",9,17]]}},"label":"page"},{"id":1136,"uris":["http://zotero.org/groups/6329368/items/9CQK8LL2"],"itemData":{"id":1136,"type":"article-journal","abstract":"In this distinguished research lecture, Dr. Sarah Elaine Eaton explores how artificial intelligence (AI) is transforming global education and reshaping our approach to teaching, learning, and assessment. Her talk will examine breakthrough technologies that are redefining education such as Generative AI (GenAI), neurotechnology, and brain-computer interfaces (BCIs) and consider how they might impact education in the coming years. Dr. Eaton will ground the rapid technological changes transforming education in the timeless principles of integrity, ethics, equity, and human rights. Dr. Eaton will talk about how these enduring cornerstones provide a foundation of hope for navigating an era of unprecedented technological progress. At the heart of it all, Dr. Eaton inspire us to think about how we can prepare today’s students to be ethical leaders and citizens of tomorrow. Postplagiarism serves as a backdrop for Dr. Eaton's lecture, which is considered a once-in-a-career honour at the Werklund School of Education, University of Calgary.","container-title":"International Journal for Educational Integrity","DOI":"10.1007/s40979-025-00187-6","ISSN":"1833-2595","issue":"1","journalAbbreviation":"Int J Educ Integr","language":"en","page":"12","source":"Springer Link","title":"Global Trends in Education: Artificial Intelligence, Postplagiarism, and Future-focused Learning for 2025 and Beyond – 2024–2025 Werklund Distinguished Research Lecture","title-short":"Global Trends in Education","volume":"21","author":[{"family":"Eaton","given":"Sarah Elaine"}],"issued":{"date-parts":[["2025",3,20]]}},"label":"page"}],"schema":"https://github.com/citation-style-language/schema/raw/master/csl-citation.json"} </w:instrText>
      </w:r>
      <w:r>
        <w:rPr>
          <w:rFonts w:hint="eastAsia" w:ascii="Times New Roman" w:hAnsi="Times New Roman" w:eastAsia="宋体" w:cs="Times New Roman"/>
          <w:snapToGrid/>
          <w:color w:val="auto"/>
          <w:sz w:val="20"/>
          <w:szCs w:val="20"/>
          <w:lang w:val="zh-CN" w:eastAsia="zh-CN" w:bidi="ar-SA"/>
        </w:rPr>
        <w:fldChar w:fldCharType="separate"/>
      </w:r>
      <w:r>
        <w:rPr>
          <w:rFonts w:hint="eastAsia" w:ascii="Times New Roman" w:hAnsi="Times New Roman" w:eastAsia="宋体" w:cs="Times New Roman"/>
          <w:snapToGrid/>
          <w:color w:val="auto"/>
          <w:sz w:val="20"/>
          <w:szCs w:val="20"/>
          <w:vertAlign w:val="superscript"/>
          <w:lang w:val="zh-CN" w:eastAsia="zh-CN" w:bidi="ar-SA"/>
        </w:rPr>
        <w:t>25,26</w:t>
      </w:r>
      <w:r>
        <w:rPr>
          <w:rFonts w:hint="eastAsia" w:ascii="Times New Roman" w:hAnsi="Times New Roman" w:eastAsia="宋体" w:cs="Times New Roman"/>
          <w:snapToGrid/>
          <w:color w:val="auto"/>
          <w:sz w:val="20"/>
          <w:szCs w:val="20"/>
          <w:lang w:val="zh-CN" w:eastAsia="zh-CN" w:bidi="ar-SA"/>
        </w:rPr>
        <w:fldChar w:fldCharType="end"/>
      </w:r>
      <w:r>
        <w:rPr>
          <w:rFonts w:hint="eastAsia" w:ascii="Times New Roman" w:hAnsi="Times New Roman" w:eastAsia="宋体" w:cs="Times New Roman"/>
          <w:snapToGrid/>
          <w:color w:val="auto"/>
          <w:sz w:val="20"/>
          <w:szCs w:val="20"/>
          <w:lang w:val="zh-CN" w:eastAsia="zh-CN" w:bidi="ar-SA"/>
        </w:rPr>
        <w:t>.</w:t>
      </w:r>
      <w:r>
        <w:rPr>
          <w:rFonts w:hint="eastAsia" w:ascii="Times New Roman" w:hAnsi="Times New Roman" w:eastAsia="宋体" w:cs="Times New Roman"/>
          <w:snapToGrid/>
          <w:color w:val="auto"/>
          <w:sz w:val="20"/>
          <w:szCs w:val="20"/>
          <w:lang w:val="en-US" w:eastAsia="zh-CN" w:bidi="ar-SA"/>
        </w:rPr>
        <w:t xml:space="preserve"> Consequently, the field currently lacks a systematic mapping of the interdependent cognitive and identity-related pathways that determine whether GenAI serves as a creative scaffold or a threat to student agency.</w:t>
      </w:r>
    </w:p>
    <w:p w14:paraId="61BF1E47">
      <w:pPr>
        <w:keepNext w:val="0"/>
        <w:keepLines w:val="0"/>
        <w:pageBreakBefore w:val="0"/>
        <w:widowControl/>
        <w:kinsoku/>
        <w:wordWrap/>
        <w:overflowPunct/>
        <w:topLinePunct w:val="0"/>
        <w:autoSpaceDE w:val="0"/>
        <w:autoSpaceDN w:val="0"/>
        <w:bidi w:val="0"/>
        <w:adjustRightInd/>
        <w:snapToGrid/>
        <w:ind w:firstLine="400" w:firstLineChars="200"/>
        <w:jc w:val="both"/>
        <w:textAlignment w:val="auto"/>
        <w:outlineLvl w:val="1"/>
        <w:rPr>
          <w:rFonts w:hint="default" w:ascii="Times New Roman" w:hAnsi="Times New Roman" w:eastAsia="宋体" w:cs="Times New Roman"/>
          <w:snapToGrid/>
          <w:color w:val="auto"/>
          <w:sz w:val="20"/>
          <w:szCs w:val="20"/>
          <w:lang w:val="zh-CN" w:eastAsia="zh-CN"/>
        </w:rPr>
      </w:pPr>
      <w:r>
        <w:rPr>
          <w:rFonts w:hint="default" w:ascii="Times New Roman" w:hAnsi="Times New Roman" w:eastAsia="宋体" w:cs="Times New Roman"/>
          <w:snapToGrid/>
          <w:color w:val="auto"/>
          <w:sz w:val="20"/>
          <w:szCs w:val="20"/>
          <w:lang w:val="zh-CN" w:eastAsia="zh-CN"/>
        </w:rPr>
        <w:t>To address these gaps, this paper presents a scoping review of empirical studies across art, design, and engineering education that systematically maps GenAI implementation from undergraduate settings to professional practice. Specifically, the review aims to document associated psychological impacts, which range from cognitive shifts to identity-related anxieties, and to critically examine the theoretical fragmentation that hinders current research. Guided by a structured coding framework (Appendix A), our analysis synthesizes these disparate findings to propose a new conceptual framework (</w:t>
      </w:r>
      <w:r>
        <w:rPr>
          <w:rFonts w:hint="default" w:ascii="Times New Roman" w:hAnsi="Times New Roman" w:eastAsia="宋体" w:cs="Times New Roman"/>
          <w:snapToGrid/>
          <w:color w:val="auto"/>
          <w:sz w:val="20"/>
          <w:szCs w:val="20"/>
          <w:lang w:eastAsia="zh-CN"/>
        </w:rPr>
        <w:t xml:space="preserve">as shown in the </w:t>
      </w:r>
      <w:r>
        <w:rPr>
          <w:rFonts w:hint="default" w:ascii="Times New Roman" w:hAnsi="Times New Roman" w:eastAsia="宋体" w:cs="Times New Roman"/>
          <w:snapToGrid/>
          <w:color w:val="auto"/>
          <w:sz w:val="20"/>
          <w:szCs w:val="20"/>
          <w:lang w:val="zh-CN" w:eastAsia="zh-CN"/>
        </w:rPr>
        <w:t>Figure 1). This framework illustrates how cognitive, emotional, and identity factors intertwine to produce dual-edged outcomes. Through this analysis, the review seeks to equip stakeholders with the evidence-based roadmap needed to ensure students develop both technical proficiency and psychological resilience in the GenAI era.</w:t>
      </w:r>
    </w:p>
    <w:p w14:paraId="0583292E">
      <w:pPr>
        <w:keepNext w:val="0"/>
        <w:keepLines w:val="0"/>
        <w:pageBreakBefore w:val="0"/>
        <w:widowControl/>
        <w:kinsoku/>
        <w:wordWrap/>
        <w:overflowPunct/>
        <w:topLinePunct w:val="0"/>
        <w:autoSpaceDE w:val="0"/>
        <w:autoSpaceDN w:val="0"/>
        <w:bidi w:val="0"/>
        <w:adjustRightInd/>
        <w:snapToGrid/>
        <w:jc w:val="both"/>
        <w:textAlignment w:val="auto"/>
        <w:outlineLvl w:val="1"/>
        <w:rPr>
          <w:rFonts w:hint="default" w:ascii="Times New Roman" w:hAnsi="Times New Roman" w:eastAsia="宋体" w:cs="Times New Roman"/>
          <w:snapToGrid/>
          <w:color w:val="auto"/>
          <w:sz w:val="20"/>
          <w:szCs w:val="20"/>
          <w:lang w:val="zh-CN" w:eastAsia="zh-CN"/>
        </w:rPr>
      </w:pPr>
      <w:r>
        <w:rPr>
          <w:rFonts w:hint="default" w:ascii="Times New Roman" w:hAnsi="Times New Roman" w:eastAsia="宋体" w:cs="Times New Roman"/>
          <w:snapToGrid/>
          <w:color w:val="auto"/>
          <w:sz w:val="20"/>
          <w:szCs w:val="20"/>
          <w:lang w:val="zh-CN" w:eastAsia="zh-CN"/>
        </w:rPr>
        <w:drawing>
          <wp:inline distT="0" distB="0" distL="114300" distR="114300">
            <wp:extent cx="5266690" cy="2882900"/>
            <wp:effectExtent l="0" t="0" r="10160" b="12700"/>
            <wp:docPr id="4" name="图片 4" descr="Fi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Fig1"/>
                    <pic:cNvPicPr>
                      <a:picLocks noChangeAspect="1"/>
                    </pic:cNvPicPr>
                  </pic:nvPicPr>
                  <pic:blipFill>
                    <a:blip r:embed="rId4">
                      <a:extLst>
                        <a:ext uri="{96DAC541-7B7A-43D3-8B79-37D633B846F1}">
                          <asvg:svgBlip xmlns:asvg="http://schemas.microsoft.com/office/drawing/2016/SVG/main" r:embed="rId5"/>
                        </a:ext>
                      </a:extLst>
                    </a:blip>
                    <a:stretch>
                      <a:fillRect/>
                    </a:stretch>
                  </pic:blipFill>
                  <pic:spPr>
                    <a:xfrm>
                      <a:off x="0" y="0"/>
                      <a:ext cx="5266690" cy="2882900"/>
                    </a:xfrm>
                    <a:prstGeom prst="rect">
                      <a:avLst/>
                    </a:prstGeom>
                  </pic:spPr>
                </pic:pic>
              </a:graphicData>
            </a:graphic>
          </wp:inline>
        </w:drawing>
      </w:r>
    </w:p>
    <w:p w14:paraId="607D2063">
      <w:pPr>
        <w:widowControl w:val="0"/>
        <w:kinsoku/>
        <w:autoSpaceDE/>
        <w:autoSpaceDN/>
        <w:adjustRightInd/>
        <w:snapToGrid/>
        <w:jc w:val="both"/>
        <w:textAlignment w:val="auto"/>
        <w:rPr>
          <w:rFonts w:hint="default" w:ascii="Times New Roman" w:hAnsi="Times New Roman" w:cs="Times New Roman" w:eastAsiaTheme="minorEastAsia"/>
          <w:b/>
          <w:bCs/>
          <w:snapToGrid/>
          <w:kern w:val="2"/>
          <w:sz w:val="18"/>
          <w:szCs w:val="18"/>
          <w:lang w:val="zh-CN" w:eastAsia="zh-CN"/>
        </w:rPr>
      </w:pPr>
      <w:r>
        <w:rPr>
          <w:rFonts w:hint="default" w:ascii="Times New Roman" w:hAnsi="Times New Roman" w:cs="Times New Roman" w:eastAsiaTheme="minorEastAsia"/>
          <w:b/>
          <w:bCs/>
          <w:snapToGrid/>
          <w:kern w:val="2"/>
          <w:sz w:val="18"/>
          <w:szCs w:val="18"/>
          <w:lang w:val="en-US" w:eastAsia="zh-CN"/>
        </w:rPr>
        <w:t>Figure</w:t>
      </w:r>
      <w:r>
        <w:rPr>
          <w:rFonts w:hint="eastAsia" w:ascii="Times New Roman" w:hAnsi="Times New Roman" w:cs="Times New Roman" w:eastAsiaTheme="minorEastAsia"/>
          <w:b/>
          <w:bCs/>
          <w:snapToGrid/>
          <w:kern w:val="2"/>
          <w:sz w:val="18"/>
          <w:szCs w:val="18"/>
          <w:lang w:val="en-US" w:eastAsia="zh-CN"/>
        </w:rPr>
        <w:t xml:space="preserve"> </w:t>
      </w:r>
      <w:r>
        <w:rPr>
          <w:rFonts w:hint="default" w:ascii="Times New Roman" w:hAnsi="Times New Roman" w:cs="Times New Roman" w:eastAsiaTheme="minorEastAsia"/>
          <w:b/>
          <w:bCs/>
          <w:snapToGrid/>
          <w:kern w:val="2"/>
          <w:sz w:val="18"/>
          <w:szCs w:val="18"/>
          <w:lang w:val="en-US" w:eastAsia="zh-CN"/>
        </w:rPr>
        <w:t>1</w:t>
      </w:r>
      <w:r>
        <w:rPr>
          <w:rFonts w:hint="eastAsia" w:ascii="Times New Roman" w:hAnsi="Times New Roman" w:cs="Times New Roman" w:eastAsiaTheme="minorEastAsia"/>
          <w:b/>
          <w:bCs/>
          <w:snapToGrid/>
          <w:kern w:val="2"/>
          <w:sz w:val="18"/>
          <w:szCs w:val="18"/>
          <w:lang w:val="en-US" w:eastAsia="zh-CN"/>
        </w:rPr>
        <w:t>.</w:t>
      </w:r>
      <w:r>
        <w:rPr>
          <w:rFonts w:hint="default" w:ascii="Times New Roman" w:hAnsi="Times New Roman" w:cs="Times New Roman" w:eastAsiaTheme="minorEastAsia"/>
          <w:b/>
          <w:bCs/>
          <w:snapToGrid/>
          <w:kern w:val="2"/>
          <w:sz w:val="18"/>
          <w:szCs w:val="18"/>
          <w:lang w:val="en-US" w:eastAsia="zh-CN"/>
        </w:rPr>
        <w:t xml:space="preserve"> </w:t>
      </w:r>
      <w:r>
        <w:rPr>
          <w:rFonts w:hint="default" w:ascii="Times New Roman" w:hAnsi="Times New Roman" w:cs="Times New Roman" w:eastAsiaTheme="minorEastAsia"/>
          <w:b w:val="0"/>
          <w:bCs w:val="0"/>
          <w:snapToGrid/>
          <w:kern w:val="2"/>
          <w:sz w:val="18"/>
          <w:szCs w:val="18"/>
          <w:lang w:val="en-US" w:eastAsia="zh-CN"/>
        </w:rPr>
        <w:t>Co</w:t>
      </w:r>
      <w:r>
        <w:rPr>
          <w:rFonts w:hint="default" w:ascii="Times New Roman" w:hAnsi="Times New Roman" w:cs="Times New Roman" w:eastAsiaTheme="minorEastAsia"/>
          <w:b w:val="0"/>
          <w:bCs w:val="0"/>
          <w:snapToGrid/>
          <w:kern w:val="2"/>
          <w:sz w:val="18"/>
          <w:szCs w:val="18"/>
          <w:lang w:eastAsia="zh-CN"/>
        </w:rPr>
        <w:t>nceptual framework of the dual-edged psychological mechanisms of GenAI integration in creative education</w:t>
      </w:r>
    </w:p>
    <w:p w14:paraId="66D0BB3A">
      <w:pPr>
        <w:pStyle w:val="6"/>
        <w:snapToGrid/>
        <w:spacing w:before="55" w:line="480" w:lineRule="auto"/>
        <w:contextualSpacing/>
        <w:jc w:val="both"/>
        <w:outlineLvl w:val="2"/>
        <w:rPr>
          <w:rFonts w:ascii="Times New Roman" w:hAnsi="Times New Roman" w:cs="Times New Roman"/>
          <w:b/>
          <w:bCs/>
          <w:spacing w:val="4"/>
          <w:position w:val="2"/>
          <w:sz w:val="20"/>
          <w:szCs w:val="20"/>
        </w:rPr>
      </w:pPr>
      <w:r>
        <w:rPr>
          <w:rFonts w:ascii="Times New Roman" w:hAnsi="Times New Roman" w:cs="Times New Roman"/>
          <w:b/>
          <w:bCs/>
          <w:spacing w:val="4"/>
          <w:position w:val="2"/>
          <w:sz w:val="20"/>
          <w:szCs w:val="20"/>
        </w:rPr>
        <w:t>Research question</w:t>
      </w:r>
    </w:p>
    <w:p w14:paraId="18903DDC">
      <w:pPr>
        <w:kinsoku/>
        <w:adjustRightInd/>
        <w:snapToGrid/>
        <w:jc w:val="both"/>
        <w:textAlignment w:val="auto"/>
        <w:outlineLvl w:val="1"/>
        <w:rPr>
          <w:rFonts w:hint="eastAsia" w:ascii="Times New Roman" w:hAnsi="Times New Roman" w:eastAsia="宋体" w:cs="Times New Roman"/>
          <w:snapToGrid/>
          <w:color w:val="auto"/>
          <w:sz w:val="20"/>
          <w:szCs w:val="20"/>
          <w:lang w:val="zh-CN" w:eastAsia="zh-CN"/>
        </w:rPr>
      </w:pPr>
      <w:r>
        <w:rPr>
          <w:rFonts w:hint="default" w:ascii="Times New Roman" w:hAnsi="Times New Roman" w:eastAsia="宋体" w:cs="Times New Roman"/>
          <w:snapToGrid/>
          <w:color w:val="auto"/>
          <w:sz w:val="20"/>
          <w:szCs w:val="20"/>
          <w:lang w:val="zh-CN" w:eastAsia="zh-CN"/>
        </w:rPr>
        <w:t>What is the current state of research on the psychological impacts of GenAI in creative education, and how have these impacts been explored and categorized? We aimed to explore the following themes:</w:t>
      </w:r>
    </w:p>
    <w:p w14:paraId="6C786D08">
      <w:pPr>
        <w:kinsoku/>
        <w:adjustRightInd/>
        <w:snapToGrid/>
        <w:ind w:firstLine="400" w:firstLineChars="200"/>
        <w:jc w:val="both"/>
        <w:textAlignment w:val="auto"/>
        <w:outlineLvl w:val="1"/>
        <w:rPr>
          <w:rFonts w:hint="eastAsia" w:ascii="Times New Roman" w:hAnsi="Times New Roman" w:eastAsia="宋体" w:cs="Times New Roman"/>
          <w:snapToGrid/>
          <w:color w:val="auto"/>
          <w:sz w:val="20"/>
          <w:szCs w:val="20"/>
          <w:lang w:val="zh-CN" w:eastAsia="zh-CN"/>
        </w:rPr>
      </w:pPr>
      <w:r>
        <w:rPr>
          <w:rFonts w:hint="default" w:ascii="Times New Roman" w:hAnsi="Times New Roman" w:eastAsia="宋体" w:cs="Times New Roman"/>
          <w:snapToGrid/>
          <w:color w:val="auto"/>
          <w:sz w:val="20"/>
          <w:szCs w:val="20"/>
          <w:lang w:val="zh-CN" w:eastAsia="zh-CN"/>
        </w:rPr>
        <w:t xml:space="preserve">(RQ1) How is </w:t>
      </w:r>
      <w:r>
        <w:rPr>
          <w:rFonts w:hint="eastAsia" w:ascii="Times New Roman" w:hAnsi="Times New Roman" w:eastAsia="宋体" w:cs="Times New Roman"/>
          <w:snapToGrid/>
          <w:color w:val="auto"/>
          <w:sz w:val="20"/>
          <w:szCs w:val="20"/>
          <w:lang w:val="en-US" w:eastAsia="zh-CN"/>
        </w:rPr>
        <w:t>Gen</w:t>
      </w:r>
      <w:r>
        <w:rPr>
          <w:rFonts w:hint="default" w:ascii="Times New Roman" w:hAnsi="Times New Roman" w:eastAsia="宋体" w:cs="Times New Roman"/>
          <w:snapToGrid/>
          <w:color w:val="auto"/>
          <w:sz w:val="20"/>
          <w:szCs w:val="20"/>
          <w:lang w:val="zh-CN" w:eastAsia="zh-CN"/>
        </w:rPr>
        <w:t>AI implemented in creative educational contexts?</w:t>
      </w:r>
    </w:p>
    <w:p w14:paraId="320534D3">
      <w:pPr>
        <w:kinsoku/>
        <w:adjustRightInd/>
        <w:snapToGrid/>
        <w:ind w:firstLine="400" w:firstLineChars="200"/>
        <w:jc w:val="both"/>
        <w:textAlignment w:val="auto"/>
        <w:outlineLvl w:val="1"/>
        <w:rPr>
          <w:rFonts w:hint="eastAsia" w:ascii="Times New Roman" w:hAnsi="Times New Roman" w:eastAsia="宋体" w:cs="Times New Roman"/>
          <w:snapToGrid/>
          <w:color w:val="auto"/>
          <w:sz w:val="20"/>
          <w:szCs w:val="20"/>
          <w:lang w:val="zh-CN" w:eastAsia="zh-CN"/>
        </w:rPr>
      </w:pPr>
      <w:r>
        <w:rPr>
          <w:rFonts w:hint="default" w:ascii="Times New Roman" w:hAnsi="Times New Roman" w:eastAsia="宋体" w:cs="Times New Roman"/>
          <w:snapToGrid/>
          <w:color w:val="auto"/>
          <w:sz w:val="20"/>
          <w:szCs w:val="20"/>
          <w:lang w:val="zh-CN" w:eastAsia="zh-CN"/>
        </w:rPr>
        <w:t>(RQ2)</w:t>
      </w:r>
      <w:r>
        <w:rPr>
          <w:rFonts w:hint="eastAsia" w:ascii="Times New Roman" w:hAnsi="Times New Roman" w:eastAsia="宋体" w:cs="Times New Roman"/>
          <w:snapToGrid/>
          <w:color w:val="auto"/>
          <w:sz w:val="20"/>
          <w:szCs w:val="20"/>
          <w:lang w:val="en-US" w:eastAsia="zh-CN"/>
        </w:rPr>
        <w:t xml:space="preserve"> </w:t>
      </w:r>
      <w:r>
        <w:rPr>
          <w:rFonts w:hint="default" w:ascii="Times New Roman" w:hAnsi="Times New Roman" w:eastAsia="宋体" w:cs="Times New Roman"/>
          <w:snapToGrid/>
          <w:color w:val="auto"/>
          <w:sz w:val="20"/>
          <w:szCs w:val="20"/>
          <w:lang w:val="zh-CN" w:eastAsia="zh-CN"/>
        </w:rPr>
        <w:t xml:space="preserve">What psychological challenges arise from students’ use of </w:t>
      </w:r>
      <w:r>
        <w:rPr>
          <w:rFonts w:hint="eastAsia" w:ascii="Times New Roman" w:hAnsi="Times New Roman" w:eastAsia="宋体" w:cs="Times New Roman"/>
          <w:snapToGrid/>
          <w:color w:val="auto"/>
          <w:sz w:val="20"/>
          <w:szCs w:val="20"/>
          <w:lang w:val="en-US" w:eastAsia="zh-CN"/>
        </w:rPr>
        <w:t>Gen</w:t>
      </w:r>
      <w:r>
        <w:rPr>
          <w:rFonts w:hint="default" w:ascii="Times New Roman" w:hAnsi="Times New Roman" w:eastAsia="宋体" w:cs="Times New Roman"/>
          <w:snapToGrid/>
          <w:color w:val="auto"/>
          <w:sz w:val="20"/>
          <w:szCs w:val="20"/>
          <w:lang w:val="zh-CN" w:eastAsia="zh-CN"/>
        </w:rPr>
        <w:t>AI?</w:t>
      </w:r>
    </w:p>
    <w:p w14:paraId="2E96FE45">
      <w:pPr>
        <w:kinsoku/>
        <w:adjustRightInd/>
        <w:snapToGrid/>
        <w:ind w:firstLine="400" w:firstLineChars="200"/>
        <w:jc w:val="both"/>
        <w:textAlignment w:val="auto"/>
        <w:outlineLvl w:val="1"/>
        <w:rPr>
          <w:rFonts w:ascii="Times New Roman" w:hAnsi="Times New Roman" w:eastAsia="Calibri" w:cs="Times New Roman"/>
          <w:b/>
          <w:bCs/>
          <w:spacing w:val="9"/>
          <w:sz w:val="24"/>
          <w:szCs w:val="24"/>
        </w:rPr>
      </w:pPr>
      <w:r>
        <w:rPr>
          <w:rFonts w:hint="default" w:ascii="Times New Roman" w:hAnsi="Times New Roman" w:eastAsia="宋体" w:cs="Times New Roman"/>
          <w:snapToGrid/>
          <w:color w:val="auto"/>
          <w:sz w:val="20"/>
          <w:szCs w:val="20"/>
          <w:lang w:val="zh-CN" w:eastAsia="zh-CN"/>
        </w:rPr>
        <w:t>(RQ3)</w:t>
      </w:r>
      <w:r>
        <w:rPr>
          <w:rFonts w:hint="eastAsia" w:ascii="Times New Roman" w:hAnsi="Times New Roman" w:eastAsia="宋体" w:cs="Times New Roman"/>
          <w:snapToGrid/>
          <w:color w:val="auto"/>
          <w:sz w:val="20"/>
          <w:szCs w:val="20"/>
          <w:lang w:val="en-US" w:eastAsia="zh-CN"/>
        </w:rPr>
        <w:t xml:space="preserve"> </w:t>
      </w:r>
      <w:r>
        <w:rPr>
          <w:rFonts w:hint="default" w:ascii="Times New Roman" w:hAnsi="Times New Roman" w:eastAsia="宋体" w:cs="Times New Roman"/>
          <w:snapToGrid/>
          <w:color w:val="auto"/>
          <w:sz w:val="20"/>
          <w:szCs w:val="20"/>
          <w:lang w:val="zh-CN" w:eastAsia="zh-CN"/>
        </w:rPr>
        <w:t>What is the gap for future work?</w:t>
      </w:r>
    </w:p>
    <w:p w14:paraId="78A9F87C">
      <w:pPr>
        <w:snapToGrid/>
        <w:spacing w:before="122" w:line="480" w:lineRule="auto"/>
        <w:contextualSpacing/>
        <w:jc w:val="both"/>
        <w:outlineLvl w:val="1"/>
        <w:rPr>
          <w:rFonts w:hint="eastAsia" w:ascii="Times New Roman" w:hAnsi="Times New Roman" w:eastAsia="Times New Roman" w:cs="Times New Roman"/>
          <w:b/>
          <w:bCs/>
          <w:snapToGrid/>
          <w:color w:val="auto"/>
          <w:sz w:val="24"/>
          <w:szCs w:val="24"/>
          <w:lang w:val="en-US" w:eastAsia="zh-CN"/>
        </w:rPr>
      </w:pPr>
      <w:r>
        <w:rPr>
          <w:rFonts w:hint="eastAsia" w:ascii="Times New Roman" w:hAnsi="Times New Roman" w:eastAsia="Times New Roman" w:cs="Times New Roman"/>
          <w:b/>
          <w:bCs/>
          <w:snapToGrid/>
          <w:color w:val="auto"/>
          <w:sz w:val="24"/>
          <w:szCs w:val="24"/>
          <w:lang w:val="en-US" w:eastAsia="zh-CN"/>
        </w:rPr>
        <w:t>Methods</w:t>
      </w:r>
    </w:p>
    <w:p w14:paraId="66D7F0A0">
      <w:pPr>
        <w:kinsoku/>
        <w:adjustRightInd/>
        <w:snapToGrid/>
        <w:jc w:val="both"/>
        <w:textAlignment w:val="auto"/>
        <w:outlineLvl w:val="1"/>
        <w:rPr>
          <w:rFonts w:hint="eastAsia" w:ascii="Times New Roman" w:hAnsi="Times New Roman" w:eastAsia="宋体" w:cs="Times New Roman"/>
          <w:snapToGrid/>
          <w:color w:val="auto"/>
          <w:sz w:val="20"/>
          <w:szCs w:val="20"/>
          <w:lang w:val="zh-CN" w:eastAsia="zh-CN"/>
        </w:rPr>
      </w:pPr>
      <w:r>
        <w:rPr>
          <w:rFonts w:hint="default" w:ascii="Times New Roman" w:hAnsi="Times New Roman" w:eastAsia="宋体" w:cs="Times New Roman"/>
          <w:snapToGrid/>
          <w:color w:val="auto"/>
          <w:sz w:val="20"/>
          <w:szCs w:val="20"/>
          <w:lang w:val="zh-CN" w:eastAsia="zh-CN"/>
        </w:rPr>
        <w:t>A scoping review approach was adopted to achieve the study</w:t>
      </w:r>
      <w:r>
        <w:rPr>
          <w:rFonts w:hint="default" w:ascii="Times New Roman" w:hAnsi="Times New Roman" w:eastAsia="宋体" w:cs="Times New Roman"/>
          <w:snapToGrid/>
          <w:color w:val="auto"/>
          <w:sz w:val="20"/>
          <w:szCs w:val="20"/>
          <w:lang w:val="en-US" w:eastAsia="zh-CN"/>
        </w:rPr>
        <w:t>’s</w:t>
      </w:r>
      <w:r>
        <w:rPr>
          <w:rFonts w:hint="default" w:ascii="Times New Roman" w:hAnsi="Times New Roman" w:eastAsia="宋体" w:cs="Times New Roman"/>
          <w:snapToGrid/>
          <w:color w:val="auto"/>
          <w:sz w:val="20"/>
          <w:szCs w:val="20"/>
          <w:lang w:val="zh-CN" w:eastAsia="zh-CN"/>
        </w:rPr>
        <w:t xml:space="preserve"> core objectives, including examining the extent of research activity on GenAI in creative education, determining the value of a full systematic review, summarising and disseminating key research findings, and identifying gaps in existing literature. Guided by the Preferred Reporting Items for Systematic Reviews and Meta-Analyses extension for Scoping Reviews (PRISMA-ScR) guidelines to ensure rigorous reporting, our a priori protocol is registered with the Open Science Framework (OSF). Aligned with the aforementioned research questions, we systematically </w:t>
      </w:r>
      <w:r>
        <w:rPr>
          <w:rFonts w:hint="eastAsia" w:ascii="Times New Roman" w:hAnsi="Times New Roman" w:eastAsia="宋体" w:cs="Times New Roman"/>
          <w:snapToGrid/>
          <w:color w:val="auto"/>
          <w:sz w:val="20"/>
          <w:szCs w:val="20"/>
          <w:lang w:val="zh-CN" w:eastAsia="zh-CN"/>
        </w:rPr>
        <w:t>discovered, profiled, and Identified.</w:t>
      </w:r>
      <w:r>
        <w:rPr>
          <w:rFonts w:hint="default" w:ascii="Times New Roman" w:hAnsi="Times New Roman" w:eastAsia="宋体" w:cs="Times New Roman"/>
          <w:snapToGrid/>
          <w:color w:val="auto"/>
          <w:sz w:val="20"/>
          <w:szCs w:val="20"/>
          <w:lang w:val="zh-CN" w:eastAsia="zh-CN"/>
        </w:rPr>
        <w:t xml:space="preserve"> empirical studies related to GenAI’s application in creative education over the past five years (2021–2026). Given that mainstream GenAI tools for creative practice</w:t>
      </w:r>
      <w:r>
        <w:rPr>
          <w:rFonts w:hint="eastAsia" w:ascii="Times New Roman" w:hAnsi="Times New Roman" w:eastAsia="宋体" w:cs="Times New Roman"/>
          <w:snapToGrid/>
          <w:color w:val="auto"/>
          <w:sz w:val="20"/>
          <w:szCs w:val="20"/>
          <w:lang w:val="en-US" w:eastAsia="zh-CN"/>
        </w:rPr>
        <w:t xml:space="preserve">, </w:t>
      </w:r>
      <w:r>
        <w:rPr>
          <w:rFonts w:hint="default" w:ascii="Times New Roman" w:hAnsi="Times New Roman" w:eastAsia="宋体" w:cs="Times New Roman"/>
          <w:snapToGrid/>
          <w:color w:val="auto"/>
          <w:sz w:val="20"/>
          <w:szCs w:val="20"/>
          <w:lang w:val="zh-CN" w:eastAsia="zh-CN"/>
        </w:rPr>
        <w:t>such as DALL-E</w:t>
      </w:r>
      <w:r>
        <w:rPr>
          <w:rFonts w:hint="eastAsia" w:ascii="Times New Roman" w:hAnsi="Times New Roman" w:eastAsia="宋体" w:cs="Times New Roman"/>
          <w:snapToGrid/>
          <w:color w:val="auto"/>
          <w:sz w:val="20"/>
          <w:szCs w:val="20"/>
          <w:lang w:val="en-US" w:eastAsia="zh-CN"/>
        </w:rPr>
        <w:t>,</w:t>
      </w:r>
      <w:r>
        <w:rPr>
          <w:rFonts w:hint="default" w:ascii="Times New Roman" w:hAnsi="Times New Roman" w:eastAsia="宋体" w:cs="Times New Roman"/>
          <w:snapToGrid/>
          <w:color w:val="auto"/>
          <w:sz w:val="20"/>
          <w:szCs w:val="20"/>
          <w:lang w:val="zh-CN" w:eastAsia="zh-CN"/>
        </w:rPr>
        <w:t xml:space="preserve"> were first launched in 2021, relevant research on their educational integration has only emerged and accumulated in recent years</w:t>
      </w:r>
      <w:r>
        <w:rPr>
          <w:rFonts w:hint="default" w:ascii="Times New Roman" w:hAnsi="Times New Roman" w:eastAsia="宋体" w:cs="Times New Roman"/>
          <w:snapToGrid/>
          <w:color w:val="auto"/>
          <w:sz w:val="20"/>
          <w:szCs w:val="20"/>
          <w:lang w:val="en-US" w:eastAsia="zh-CN"/>
        </w:rPr>
        <w:t xml:space="preserve">, </w:t>
      </w:r>
      <w:r>
        <w:rPr>
          <w:rFonts w:hint="default" w:ascii="Times New Roman" w:hAnsi="Times New Roman" w:eastAsia="宋体" w:cs="Times New Roman"/>
          <w:snapToGrid/>
          <w:color w:val="auto"/>
          <w:sz w:val="20"/>
          <w:szCs w:val="20"/>
          <w:lang w:val="zh-CN" w:eastAsia="zh-CN"/>
        </w:rPr>
        <w:t>which making this five-year time span scientifically justified, as it fully covers the key period of GenAI’s penetration into creative education and ensures the timeliness and relevance of the included literature. We adopted two steps to examine these studies: systematic selection of papers through database searches and hand-screening (in line with the PRISMA-ScR framework), and coding of the selected papers using the pre-established structured coding scheme detailed in the Appendix</w:t>
      </w:r>
      <w:r>
        <w:rPr>
          <w:rFonts w:hint="eastAsia" w:ascii="Times New Roman" w:hAnsi="Times New Roman" w:eastAsia="宋体" w:cs="Times New Roman"/>
          <w:snapToGrid/>
          <w:color w:val="auto"/>
          <w:sz w:val="20"/>
          <w:szCs w:val="20"/>
          <w:lang w:val="en-US" w:eastAsia="zh-CN"/>
        </w:rPr>
        <w:t xml:space="preserve"> A</w:t>
      </w:r>
      <w:r>
        <w:rPr>
          <w:rFonts w:hint="default" w:ascii="Times New Roman" w:hAnsi="Times New Roman" w:eastAsia="宋体" w:cs="Times New Roman"/>
          <w:snapToGrid/>
          <w:color w:val="auto"/>
          <w:sz w:val="20"/>
          <w:szCs w:val="20"/>
          <w:lang w:val="zh-CN" w:eastAsia="zh-CN"/>
        </w:rPr>
        <w:t>.</w:t>
      </w:r>
    </w:p>
    <w:p w14:paraId="74EB6319">
      <w:pPr>
        <w:kinsoku/>
        <w:adjustRightInd/>
        <w:snapToGrid/>
        <w:ind w:firstLine="402" w:firstLineChars="200"/>
        <w:jc w:val="both"/>
        <w:textAlignment w:val="auto"/>
        <w:outlineLvl w:val="1"/>
        <w:rPr>
          <w:rFonts w:hint="default" w:ascii="Times New Roman" w:hAnsi="Times New Roman" w:eastAsia="宋体" w:cs="Times New Roman"/>
          <w:snapToGrid/>
          <w:color w:val="auto"/>
          <w:sz w:val="20"/>
          <w:szCs w:val="20"/>
          <w:lang w:val="en-US" w:eastAsia="zh-CN"/>
        </w:rPr>
      </w:pPr>
      <w:r>
        <w:rPr>
          <w:rFonts w:hint="default" w:ascii="Times New Roman" w:hAnsi="Times New Roman" w:eastAsia="宋体" w:cs="Times New Roman"/>
          <w:b/>
          <w:bCs/>
          <w:snapToGrid/>
          <w:color w:val="000000"/>
          <w:sz w:val="20"/>
          <w:szCs w:val="20"/>
          <w:lang w:val="en-US" w:eastAsia="zh-CN" w:bidi="ar-SA"/>
        </w:rPr>
        <w:t>Paper selectio</w:t>
      </w:r>
      <w:r>
        <w:rPr>
          <w:rFonts w:ascii="Times New Roman" w:hAnsi="Times New Roman" w:eastAsia="宋体" w:cs="Times New Roman"/>
          <w:b/>
          <w:bCs/>
          <w:snapToGrid/>
          <w:color w:val="000000"/>
          <w:sz w:val="20"/>
          <w:szCs w:val="20"/>
          <w:lang w:val="en-US" w:eastAsia="zh-CN" w:bidi="ar-SA"/>
        </w:rPr>
        <w:t>n:</w:t>
      </w:r>
      <w:r>
        <w:rPr>
          <w:rFonts w:hint="eastAsia" w:ascii="Times New Roman" w:hAnsi="Times New Roman" w:eastAsia="宋体" w:cs="Times New Roman"/>
          <w:snapToGrid/>
          <w:color w:val="auto"/>
          <w:sz w:val="20"/>
          <w:szCs w:val="20"/>
          <w:lang w:eastAsia="zh-CN"/>
        </w:rPr>
        <w:t xml:space="preserve"> </w:t>
      </w:r>
      <w:r>
        <w:rPr>
          <w:rFonts w:hint="default" w:ascii="Times New Roman" w:hAnsi="Times New Roman" w:eastAsia="宋体" w:cs="Times New Roman"/>
          <w:snapToGrid/>
          <w:color w:val="auto"/>
          <w:sz w:val="20"/>
          <w:szCs w:val="20"/>
          <w:lang w:eastAsia="zh-CN"/>
        </w:rPr>
        <w:t>To guarantee the quality of selected</w:t>
      </w:r>
      <w:r>
        <w:rPr>
          <w:rFonts w:hint="eastAsia" w:ascii="Times New Roman" w:hAnsi="Times New Roman" w:eastAsia="宋体" w:cs="Times New Roman"/>
          <w:snapToGrid/>
          <w:color w:val="auto"/>
          <w:sz w:val="20"/>
          <w:szCs w:val="20"/>
          <w:lang w:val="en-US" w:eastAsia="zh-CN"/>
        </w:rPr>
        <w:t xml:space="preserve"> studies</w:t>
      </w:r>
      <w:r>
        <w:rPr>
          <w:rFonts w:hint="default" w:ascii="Times New Roman" w:hAnsi="Times New Roman" w:eastAsia="宋体" w:cs="Times New Roman"/>
          <w:snapToGrid/>
          <w:color w:val="auto"/>
          <w:sz w:val="20"/>
          <w:szCs w:val="20"/>
          <w:lang w:eastAsia="zh-CN"/>
        </w:rPr>
        <w:t>, our research team reviewed well-recognized peer-reviewed articles in the Web of Science</w:t>
      </w:r>
      <w:r>
        <w:rPr>
          <w:rFonts w:hint="eastAsia" w:ascii="Times New Roman" w:hAnsi="Times New Roman" w:eastAsia="宋体" w:cs="Times New Roman"/>
          <w:snapToGrid/>
          <w:color w:val="auto"/>
          <w:sz w:val="20"/>
          <w:szCs w:val="20"/>
          <w:lang w:eastAsia="zh-CN"/>
        </w:rPr>
        <w:t xml:space="preserve"> </w:t>
      </w:r>
      <w:r>
        <w:rPr>
          <w:rFonts w:hint="default" w:ascii="Times New Roman" w:hAnsi="Times New Roman" w:eastAsia="宋体" w:cs="Times New Roman"/>
          <w:snapToGrid/>
          <w:color w:val="auto"/>
          <w:sz w:val="20"/>
          <w:szCs w:val="20"/>
          <w:lang w:eastAsia="zh-CN"/>
        </w:rPr>
        <w:t>(WOS)</w:t>
      </w:r>
      <w:r>
        <w:rPr>
          <w:rFonts w:hint="eastAsia" w:ascii="Times New Roman" w:hAnsi="Times New Roman" w:eastAsia="宋体" w:cs="Times New Roman"/>
          <w:snapToGrid/>
          <w:color w:val="auto"/>
          <w:sz w:val="20"/>
          <w:szCs w:val="20"/>
          <w:lang w:eastAsia="zh-CN"/>
        </w:rPr>
        <w:t xml:space="preserve"> </w:t>
      </w:r>
      <w:r>
        <w:rPr>
          <w:rFonts w:hint="default" w:ascii="Times New Roman" w:hAnsi="Times New Roman" w:eastAsia="宋体" w:cs="Times New Roman"/>
          <w:snapToGrid/>
          <w:color w:val="auto"/>
          <w:sz w:val="20"/>
          <w:szCs w:val="20"/>
          <w:lang w:eastAsia="zh-CN"/>
        </w:rPr>
        <w:t xml:space="preserve">core collection, Scopus, and IEEE Xplore. </w:t>
      </w:r>
      <w:r>
        <w:rPr>
          <w:rFonts w:hint="eastAsia" w:ascii="Times New Roman" w:hAnsi="Times New Roman" w:eastAsia="宋体" w:cs="Times New Roman"/>
          <w:snapToGrid/>
          <w:color w:val="auto"/>
          <w:sz w:val="20"/>
          <w:szCs w:val="20"/>
          <w:lang w:val="en-US" w:eastAsia="zh-CN"/>
        </w:rPr>
        <w:t>W</w:t>
      </w:r>
      <w:r>
        <w:rPr>
          <w:rFonts w:hint="default" w:ascii="Times New Roman" w:hAnsi="Times New Roman" w:eastAsia="宋体" w:cs="Times New Roman"/>
          <w:snapToGrid/>
          <w:color w:val="auto"/>
          <w:sz w:val="20"/>
          <w:szCs w:val="20"/>
          <w:lang w:eastAsia="zh-CN"/>
        </w:rPr>
        <w:t>e sourced studies through two complementary channels</w:t>
      </w:r>
      <w:r>
        <w:rPr>
          <w:rFonts w:hint="eastAsia" w:ascii="Times New Roman" w:hAnsi="Times New Roman" w:eastAsia="宋体" w:cs="Times New Roman"/>
          <w:snapToGrid/>
          <w:color w:val="auto"/>
          <w:sz w:val="20"/>
          <w:szCs w:val="20"/>
          <w:lang w:val="en-US" w:eastAsia="zh-CN"/>
        </w:rPr>
        <w:t>. F</w:t>
      </w:r>
      <w:r>
        <w:rPr>
          <w:rFonts w:hint="default" w:ascii="Times New Roman" w:hAnsi="Times New Roman" w:eastAsia="宋体" w:cs="Times New Roman"/>
          <w:snapToGrid/>
          <w:color w:val="auto"/>
          <w:sz w:val="20"/>
          <w:szCs w:val="20"/>
          <w:lang w:eastAsia="zh-CN"/>
        </w:rPr>
        <w:t>irst via database searches. To ensure the credibility and relevance of our literature pool, we focused on peer-reviewed work from three high-impact academic databases (Web of Science Core Collection, Scopus, IEEE Xplore), with the following database-specific search strings</w:t>
      </w:r>
      <w:r>
        <w:rPr>
          <w:rFonts w:hint="eastAsia" w:ascii="Times New Roman" w:hAnsi="Times New Roman" w:eastAsia="宋体" w:cs="Times New Roman"/>
          <w:snapToGrid/>
          <w:color w:val="auto"/>
          <w:sz w:val="20"/>
          <w:szCs w:val="20"/>
          <w:lang w:val="en-US" w:eastAsia="zh-CN"/>
        </w:rPr>
        <w:t>. The specific search strings tailored to each database are detailed in the Appendix B.</w:t>
      </w:r>
    </w:p>
    <w:p w14:paraId="3948CEDD">
      <w:pPr>
        <w:kinsoku/>
        <w:adjustRightInd/>
        <w:snapToGrid/>
        <w:ind w:firstLine="400" w:firstLineChars="200"/>
        <w:jc w:val="both"/>
        <w:textAlignment w:val="auto"/>
        <w:outlineLvl w:val="1"/>
        <w:rPr>
          <w:rFonts w:hint="default" w:ascii="Times New Roman" w:hAnsi="Times New Roman" w:eastAsia="宋体" w:cs="Times New Roman"/>
          <w:snapToGrid/>
          <w:color w:val="auto"/>
          <w:sz w:val="20"/>
          <w:szCs w:val="20"/>
          <w:lang w:eastAsia="zh-CN"/>
        </w:rPr>
      </w:pPr>
      <w:r>
        <w:rPr>
          <w:rFonts w:hint="default" w:ascii="Times New Roman" w:hAnsi="Times New Roman" w:eastAsia="宋体" w:cs="Times New Roman"/>
          <w:snapToGrid/>
          <w:color w:val="auto"/>
          <w:sz w:val="20"/>
          <w:szCs w:val="20"/>
          <w:lang w:val="en-US" w:eastAsia="zh-CN"/>
        </w:rPr>
        <w:t>The inconsistent inclusion of psychological keywords alone across the three databases stems from three key factors: Scopus’s stronger coverage of humanities and social science research allows it to capture studies on students’ psychological responses to AI without excessive noise; Web of Science Core Collection, by contrast, prioritizes the core link between AI tools and art/design education, while IEEE Xplore focuses on technical and user-perception studies. Adding psychological keywords to the latter two databases would likely introduce irrelevant literature, so they were omitted there.</w:t>
      </w:r>
    </w:p>
    <w:p w14:paraId="54ED5125">
      <w:pPr>
        <w:kinsoku/>
        <w:adjustRightInd/>
        <w:snapToGrid/>
        <w:ind w:firstLine="400" w:firstLineChars="200"/>
        <w:jc w:val="both"/>
        <w:textAlignment w:val="auto"/>
        <w:outlineLvl w:val="1"/>
        <w:rPr>
          <w:rFonts w:hint="eastAsia" w:ascii="Times New Roman" w:hAnsi="Times New Roman" w:eastAsia="宋体" w:cs="Times New Roman"/>
          <w:snapToGrid/>
          <w:color w:val="auto"/>
          <w:sz w:val="20"/>
          <w:szCs w:val="20"/>
          <w:lang w:eastAsia="zh-CN"/>
        </w:rPr>
      </w:pPr>
      <w:r>
        <w:rPr>
          <w:rFonts w:hint="default" w:ascii="Times New Roman" w:hAnsi="Times New Roman" w:eastAsia="宋体" w:cs="Times New Roman"/>
          <w:snapToGrid/>
          <w:color w:val="auto"/>
          <w:sz w:val="20"/>
          <w:szCs w:val="20"/>
          <w:lang w:eastAsia="zh-CN"/>
        </w:rPr>
        <w:t xml:space="preserve">In the </w:t>
      </w:r>
      <w:r>
        <w:rPr>
          <w:rFonts w:hint="default" w:ascii="Times New Roman" w:hAnsi="Times New Roman" w:eastAsia="宋体" w:cs="Times New Roman"/>
          <w:snapToGrid/>
          <w:color w:val="auto"/>
          <w:sz w:val="20"/>
          <w:szCs w:val="20"/>
          <w:lang w:val="en-US" w:eastAsia="zh-CN"/>
        </w:rPr>
        <w:t>“</w:t>
      </w:r>
      <w:r>
        <w:rPr>
          <w:rFonts w:hint="default" w:ascii="Times New Roman" w:hAnsi="Times New Roman" w:eastAsia="宋体" w:cs="Times New Roman"/>
          <w:snapToGrid/>
          <w:color w:val="auto"/>
          <w:sz w:val="20"/>
          <w:szCs w:val="20"/>
          <w:lang w:eastAsia="zh-CN"/>
        </w:rPr>
        <w:t>Identification of studies via other methods</w:t>
      </w:r>
      <w:r>
        <w:rPr>
          <w:rFonts w:hint="default" w:ascii="Times New Roman" w:hAnsi="Times New Roman" w:eastAsia="宋体" w:cs="Times New Roman"/>
          <w:snapToGrid/>
          <w:color w:val="auto"/>
          <w:sz w:val="20"/>
          <w:szCs w:val="20"/>
          <w:lang w:val="en-US" w:eastAsia="zh-CN"/>
        </w:rPr>
        <w:t>”</w:t>
      </w:r>
      <w:r>
        <w:rPr>
          <w:rFonts w:hint="default" w:ascii="Times New Roman" w:hAnsi="Times New Roman" w:eastAsia="宋体" w:cs="Times New Roman"/>
          <w:snapToGrid/>
          <w:color w:val="auto"/>
          <w:sz w:val="20"/>
          <w:szCs w:val="20"/>
          <w:lang w:eastAsia="zh-CN"/>
        </w:rPr>
        <w:t xml:space="preserve"> stage (as shown in the </w:t>
      </w:r>
      <w:r>
        <w:rPr>
          <w:rFonts w:hint="eastAsia" w:ascii="Times New Roman" w:hAnsi="Times New Roman" w:eastAsia="宋体" w:cs="Times New Roman"/>
          <w:snapToGrid/>
          <w:color w:val="auto"/>
          <w:sz w:val="20"/>
          <w:szCs w:val="20"/>
          <w:lang w:val="en-US" w:eastAsia="zh-CN"/>
        </w:rPr>
        <w:t xml:space="preserve">Figure </w:t>
      </w:r>
      <w:r>
        <w:rPr>
          <w:rFonts w:hint="default" w:ascii="Times New Roman" w:hAnsi="Times New Roman" w:eastAsia="宋体" w:cs="Times New Roman"/>
          <w:snapToGrid/>
          <w:color w:val="auto"/>
          <w:sz w:val="20"/>
          <w:szCs w:val="20"/>
          <w:lang w:eastAsia="zh-CN"/>
        </w:rPr>
        <w:t>2), we conducted backward reference checking: we reviewed the reference lists of relevant studies retrieved from database searches, to identify additional eligible literature that aligned with our focus on GenAI’s psychological impacts on creative education students.</w:t>
      </w:r>
    </w:p>
    <w:p w14:paraId="0F79E824">
      <w:pPr>
        <w:kinsoku/>
        <w:adjustRightInd/>
        <w:snapToGrid/>
        <w:ind w:firstLine="400" w:firstLineChars="200"/>
        <w:jc w:val="both"/>
        <w:textAlignment w:val="auto"/>
        <w:outlineLvl w:val="1"/>
        <w:rPr>
          <w:rFonts w:hint="eastAsia" w:ascii="Times New Roman" w:hAnsi="Times New Roman" w:eastAsia="宋体" w:cs="Times New Roman"/>
          <w:snapToGrid/>
          <w:color w:val="auto"/>
          <w:sz w:val="20"/>
          <w:szCs w:val="20"/>
          <w:lang w:eastAsia="zh-CN"/>
        </w:rPr>
      </w:pPr>
      <w:r>
        <w:rPr>
          <w:rFonts w:hint="default" w:ascii="Times New Roman" w:hAnsi="Times New Roman" w:eastAsia="宋体" w:cs="Times New Roman"/>
          <w:snapToGrid/>
          <w:color w:val="auto"/>
          <w:sz w:val="20"/>
          <w:szCs w:val="20"/>
          <w:lang w:eastAsia="zh-CN"/>
        </w:rPr>
        <w:t>These databases contain reputable journals with recognized impact factors. The articles retrieved in WOS and Scopus can be further</w:t>
      </w:r>
      <w:r>
        <w:rPr>
          <w:rFonts w:hint="eastAsia" w:ascii="Times New Roman" w:hAnsi="Times New Roman" w:eastAsia="宋体" w:cs="Times New Roman"/>
          <w:snapToGrid/>
          <w:color w:val="auto"/>
          <w:sz w:val="20"/>
          <w:szCs w:val="20"/>
          <w:lang w:eastAsia="zh-CN"/>
        </w:rPr>
        <w:t xml:space="preserve"> refined</w:t>
      </w:r>
      <w:r>
        <w:rPr>
          <w:rFonts w:hint="default" w:ascii="Times New Roman" w:hAnsi="Times New Roman" w:eastAsia="宋体" w:cs="Times New Roman"/>
          <w:snapToGrid/>
          <w:color w:val="auto"/>
          <w:sz w:val="20"/>
          <w:szCs w:val="20"/>
          <w:lang w:eastAsia="zh-CN"/>
        </w:rPr>
        <w:t xml:space="preserve"> into social science or educational categories,</w:t>
      </w:r>
      <w:r>
        <w:rPr>
          <w:rFonts w:hint="eastAsia" w:ascii="Times New Roman" w:hAnsi="Times New Roman" w:eastAsia="宋体" w:cs="Times New Roman"/>
          <w:snapToGrid/>
          <w:color w:val="auto"/>
          <w:sz w:val="20"/>
          <w:szCs w:val="20"/>
          <w:lang w:eastAsia="zh-CN"/>
        </w:rPr>
        <w:t xml:space="preserve"> </w:t>
      </w:r>
      <w:r>
        <w:rPr>
          <w:rFonts w:hint="default" w:ascii="Times New Roman" w:hAnsi="Times New Roman" w:eastAsia="宋体" w:cs="Times New Roman"/>
          <w:snapToGrid/>
          <w:color w:val="auto"/>
          <w:sz w:val="20"/>
          <w:szCs w:val="20"/>
          <w:lang w:eastAsia="zh-CN"/>
        </w:rPr>
        <w:t>allowing for more precise retrieval. Additionally, given the focusof this research on the use of technology in education, the IEEE database provides focused research in scientifc and technical disciplines.</w:t>
      </w:r>
    </w:p>
    <w:p w14:paraId="3251A849">
      <w:pPr>
        <w:pStyle w:val="6"/>
        <w:snapToGrid/>
        <w:spacing w:before="55" w:line="480" w:lineRule="auto"/>
        <w:contextualSpacing/>
        <w:jc w:val="both"/>
        <w:outlineLvl w:val="2"/>
        <w:rPr>
          <w:rFonts w:ascii="Times New Roman" w:hAnsi="Times New Roman" w:eastAsia="宋体" w:cs="Times New Roman"/>
          <w:b/>
          <w:bCs/>
          <w:spacing w:val="4"/>
          <w:position w:val="2"/>
          <w:sz w:val="24"/>
          <w:szCs w:val="24"/>
          <w:lang w:eastAsia="zh-CN"/>
        </w:rPr>
      </w:pPr>
      <w:r>
        <w:rPr>
          <w:rFonts w:ascii="Times New Roman" w:hAnsi="Times New Roman" w:eastAsia="宋体" w:cs="Times New Roman"/>
          <w:b/>
          <w:bCs/>
          <w:spacing w:val="4"/>
          <w:position w:val="2"/>
          <w:sz w:val="24"/>
          <w:szCs w:val="24"/>
          <w:lang w:eastAsia="zh-CN"/>
        </w:rPr>
        <w:drawing>
          <wp:inline distT="0" distB="0" distL="114300" distR="114300">
            <wp:extent cx="5265420" cy="3079750"/>
            <wp:effectExtent l="0" t="0" r="11430" b="6350"/>
            <wp:docPr id="5" name="图片 5" descr="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30(1)"/>
                    <pic:cNvPicPr>
                      <a:picLocks noChangeAspect="1"/>
                    </pic:cNvPicPr>
                  </pic:nvPicPr>
                  <pic:blipFill>
                    <a:blip r:embed="rId6">
                      <a:extLst>
                        <a:ext uri="{96DAC541-7B7A-43D3-8B79-37D633B846F1}">
                          <asvg:svgBlip xmlns:asvg="http://schemas.microsoft.com/office/drawing/2016/SVG/main" r:embed="rId7"/>
                        </a:ext>
                      </a:extLst>
                    </a:blip>
                    <a:stretch>
                      <a:fillRect/>
                    </a:stretch>
                  </pic:blipFill>
                  <pic:spPr>
                    <a:xfrm>
                      <a:off x="0" y="0"/>
                      <a:ext cx="5265420" cy="3079750"/>
                    </a:xfrm>
                    <a:prstGeom prst="rect">
                      <a:avLst/>
                    </a:prstGeom>
                  </pic:spPr>
                </pic:pic>
              </a:graphicData>
            </a:graphic>
          </wp:inline>
        </w:drawing>
      </w:r>
    </w:p>
    <w:p w14:paraId="1BF60300">
      <w:pPr>
        <w:widowControl w:val="0"/>
        <w:kinsoku/>
        <w:autoSpaceDE/>
        <w:autoSpaceDN/>
        <w:adjustRightInd/>
        <w:snapToGrid/>
        <w:jc w:val="both"/>
        <w:textAlignment w:val="auto"/>
        <w:rPr>
          <w:rFonts w:hint="default" w:ascii="Times New Roman" w:hAnsi="Times New Roman" w:cs="Times New Roman" w:eastAsiaTheme="minorEastAsia"/>
          <w:b w:val="0"/>
          <w:bCs w:val="0"/>
          <w:snapToGrid/>
          <w:kern w:val="2"/>
          <w:sz w:val="18"/>
          <w:szCs w:val="18"/>
          <w:lang w:val="en-US" w:eastAsia="zh-CN"/>
        </w:rPr>
      </w:pPr>
      <w:r>
        <w:rPr>
          <w:rFonts w:hint="default" w:ascii="Times New Roman" w:hAnsi="Times New Roman" w:cs="Times New Roman" w:eastAsiaTheme="minorEastAsia"/>
          <w:b/>
          <w:bCs/>
          <w:snapToGrid/>
          <w:kern w:val="2"/>
          <w:sz w:val="18"/>
          <w:szCs w:val="18"/>
          <w:lang w:val="en-US" w:eastAsia="zh-CN"/>
        </w:rPr>
        <w:t>F</w:t>
      </w:r>
      <w:r>
        <w:rPr>
          <w:rFonts w:hint="eastAsia" w:ascii="Times New Roman" w:hAnsi="Times New Roman" w:cs="Times New Roman" w:eastAsiaTheme="minorEastAsia"/>
          <w:b/>
          <w:bCs/>
          <w:snapToGrid/>
          <w:kern w:val="2"/>
          <w:sz w:val="18"/>
          <w:szCs w:val="18"/>
          <w:lang w:val="en-US" w:eastAsia="zh-CN"/>
        </w:rPr>
        <w:t xml:space="preserve">igure </w:t>
      </w:r>
      <w:r>
        <w:rPr>
          <w:rFonts w:hint="default" w:ascii="Times New Roman" w:hAnsi="Times New Roman" w:cs="Times New Roman" w:eastAsiaTheme="minorEastAsia"/>
          <w:b/>
          <w:bCs/>
          <w:snapToGrid/>
          <w:kern w:val="2"/>
          <w:sz w:val="18"/>
          <w:szCs w:val="18"/>
          <w:lang w:val="en-US" w:eastAsia="zh-CN"/>
        </w:rPr>
        <w:t>2.</w:t>
      </w:r>
      <w:r>
        <w:rPr>
          <w:rFonts w:hint="eastAsia" w:ascii="Times New Roman" w:hAnsi="Times New Roman" w:cs="Times New Roman" w:eastAsiaTheme="minorEastAsia"/>
          <w:b/>
          <w:bCs/>
          <w:snapToGrid/>
          <w:kern w:val="2"/>
          <w:sz w:val="18"/>
          <w:szCs w:val="18"/>
          <w:lang w:val="en-US" w:eastAsia="zh-CN"/>
        </w:rPr>
        <w:t xml:space="preserve"> </w:t>
      </w:r>
      <w:r>
        <w:rPr>
          <w:rFonts w:hint="default" w:ascii="Times New Roman" w:hAnsi="Times New Roman" w:cs="Times New Roman" w:eastAsiaTheme="minorEastAsia"/>
          <w:b w:val="0"/>
          <w:bCs w:val="0"/>
          <w:snapToGrid/>
          <w:kern w:val="2"/>
          <w:sz w:val="18"/>
          <w:szCs w:val="18"/>
          <w:lang w:val="en-US" w:eastAsia="zh-CN"/>
        </w:rPr>
        <w:t>Study flow diagram for the scoping review process</w:t>
      </w:r>
    </w:p>
    <w:p w14:paraId="358A5F4F">
      <w:pPr>
        <w:widowControl w:val="0"/>
        <w:kinsoku/>
        <w:autoSpaceDE/>
        <w:autoSpaceDN/>
        <w:adjustRightInd/>
        <w:snapToGrid/>
        <w:jc w:val="both"/>
        <w:textAlignment w:val="auto"/>
        <w:rPr>
          <w:rFonts w:hint="default" w:ascii="Times New Roman" w:hAnsi="Times New Roman" w:cs="Times New Roman" w:eastAsiaTheme="minorEastAsia"/>
          <w:b w:val="0"/>
          <w:bCs w:val="0"/>
          <w:snapToGrid/>
          <w:kern w:val="2"/>
          <w:sz w:val="18"/>
          <w:szCs w:val="18"/>
          <w:lang w:val="en-US" w:eastAsia="zh-CN"/>
        </w:rPr>
      </w:pPr>
    </w:p>
    <w:p w14:paraId="21806CA6">
      <w:pPr>
        <w:kinsoku/>
        <w:adjustRightInd/>
        <w:snapToGrid/>
        <w:jc w:val="both"/>
        <w:textAlignment w:val="auto"/>
        <w:outlineLvl w:val="1"/>
        <w:rPr>
          <w:rFonts w:hint="eastAsia" w:ascii="Times New Roman" w:hAnsi="Times New Roman" w:eastAsia="宋体" w:cs="Times New Roman"/>
          <w:snapToGrid/>
          <w:color w:val="auto"/>
          <w:sz w:val="20"/>
          <w:szCs w:val="20"/>
          <w:lang w:val="en-US" w:eastAsia="zh-CN"/>
        </w:rPr>
      </w:pPr>
      <w:r>
        <w:rPr>
          <w:rFonts w:hint="eastAsia" w:ascii="Times New Roman" w:hAnsi="Times New Roman" w:eastAsia="宋体" w:cs="Times New Roman"/>
          <w:snapToGrid/>
          <w:color w:val="auto"/>
          <w:sz w:val="20"/>
          <w:szCs w:val="20"/>
          <w:lang w:val="en-US" w:eastAsia="zh-CN"/>
        </w:rPr>
        <w:t>During full-text screening, we applied pre-defined exclusion criteria and inclusion criteria to ensure alignment with the research focus:</w:t>
      </w:r>
    </w:p>
    <w:p w14:paraId="0A2CB8A7">
      <w:pPr>
        <w:kinsoku/>
        <w:adjustRightInd/>
        <w:snapToGrid/>
        <w:jc w:val="both"/>
        <w:textAlignment w:val="auto"/>
        <w:outlineLvl w:val="1"/>
        <w:rPr>
          <w:rFonts w:hint="eastAsia" w:ascii="Times New Roman" w:hAnsi="Times New Roman" w:eastAsia="宋体" w:cs="Times New Roman"/>
          <w:snapToGrid/>
          <w:color w:val="auto"/>
          <w:sz w:val="20"/>
          <w:szCs w:val="20"/>
          <w:lang w:val="en-US" w:eastAsia="zh-CN"/>
        </w:rPr>
      </w:pPr>
      <w:r>
        <w:rPr>
          <w:rFonts w:hint="default" w:ascii="Times New Roman" w:hAnsi="Times New Roman" w:eastAsia="宋体" w:cs="Times New Roman"/>
          <w:b/>
          <w:bCs/>
          <w:snapToGrid/>
          <w:color w:val="auto"/>
          <w:sz w:val="20"/>
          <w:szCs w:val="20"/>
          <w:lang w:eastAsia="zh-CN"/>
        </w:rPr>
        <w:t>Exclusion criteria:</w:t>
      </w:r>
      <w:r>
        <w:rPr>
          <w:rFonts w:hint="default" w:ascii="Times New Roman" w:hAnsi="Times New Roman" w:eastAsia="宋体" w:cs="Times New Roman"/>
          <w:snapToGrid/>
          <w:color w:val="auto"/>
          <w:sz w:val="20"/>
          <w:szCs w:val="20"/>
          <w:lang w:eastAsia="zh-CN"/>
        </w:rPr>
        <w:t xml:space="preserve"> </w:t>
      </w:r>
      <w:r>
        <w:rPr>
          <w:rFonts w:hint="eastAsia" w:ascii="Times New Roman" w:hAnsi="Times New Roman" w:eastAsia="宋体" w:cs="Times New Roman"/>
          <w:snapToGrid/>
          <w:color w:val="auto"/>
          <w:sz w:val="20"/>
          <w:szCs w:val="20"/>
          <w:lang w:val="en-US" w:eastAsia="zh-CN"/>
        </w:rPr>
        <w:t>Studies were excluded in case they simply talked about the technical capabilities of GenAI or the way it has been applied pedagogically but did not address the psychological reactions of students; focused on perceived usefulness or ease of use without negative emotions, such as anxiety or threat; or applied GenAI to non-creative situations, including ChatGPT to debug a piece of code or summarize text.</w:t>
      </w:r>
    </w:p>
    <w:p w14:paraId="6815152A">
      <w:pPr>
        <w:kinsoku/>
        <w:adjustRightInd/>
        <w:snapToGrid/>
        <w:jc w:val="both"/>
        <w:textAlignment w:val="auto"/>
        <w:outlineLvl w:val="1"/>
        <w:rPr>
          <w:rFonts w:hint="eastAsia" w:ascii="Times New Roman" w:hAnsi="Times New Roman" w:eastAsia="宋体" w:cs="Times New Roman"/>
          <w:snapToGrid/>
          <w:color w:val="auto"/>
          <w:sz w:val="20"/>
          <w:szCs w:val="20"/>
          <w:lang w:val="zh-CN" w:eastAsia="zh-CN"/>
        </w:rPr>
      </w:pPr>
      <w:r>
        <w:rPr>
          <w:rFonts w:hint="default" w:ascii="Times New Roman" w:hAnsi="Times New Roman" w:eastAsia="宋体" w:cs="Times New Roman"/>
          <w:b/>
          <w:bCs/>
          <w:snapToGrid/>
          <w:color w:val="auto"/>
          <w:sz w:val="20"/>
          <w:szCs w:val="20"/>
          <w:lang w:eastAsia="zh-CN"/>
        </w:rPr>
        <w:t>Inclusion criteria:</w:t>
      </w:r>
      <w:r>
        <w:rPr>
          <w:rFonts w:hint="default" w:ascii="Times New Roman" w:hAnsi="Times New Roman" w:eastAsia="宋体" w:cs="Times New Roman"/>
          <w:snapToGrid/>
          <w:color w:val="auto"/>
          <w:sz w:val="20"/>
          <w:szCs w:val="20"/>
          <w:lang w:eastAsia="zh-CN"/>
        </w:rPr>
        <w:t xml:space="preserve"> </w:t>
      </w:r>
      <w:r>
        <w:rPr>
          <w:rFonts w:hint="eastAsia" w:ascii="Times New Roman" w:hAnsi="Times New Roman" w:eastAsia="宋体" w:cs="Times New Roman"/>
          <w:snapToGrid/>
          <w:color w:val="auto"/>
          <w:sz w:val="20"/>
          <w:szCs w:val="20"/>
          <w:lang w:val="zh-CN" w:eastAsia="zh-CN"/>
        </w:rPr>
        <w:t>The studies included in this study had to investigate student psychological responses, including perceptions, attitudes, emotions (e.g., anxiety or threat), satisfaction, and behavioral intentions; involved art or design students utilizing GenAI tools to participate in creative activities, and reflection of the experiences; applied psychological or technology acceptance theories to investigate problems in creative education; and used qualitative, quantitative, or mixed empirical research.</w:t>
      </w:r>
    </w:p>
    <w:p w14:paraId="57146BEC">
      <w:pPr>
        <w:kinsoku/>
        <w:adjustRightInd/>
        <w:snapToGrid/>
        <w:jc w:val="both"/>
        <w:textAlignment w:val="auto"/>
        <w:outlineLvl w:val="1"/>
        <w:rPr>
          <w:rFonts w:hint="eastAsia" w:ascii="Times New Roman" w:hAnsi="Times New Roman" w:eastAsia="宋体" w:cs="Times New Roman"/>
          <w:snapToGrid/>
          <w:color w:val="auto"/>
          <w:sz w:val="20"/>
          <w:szCs w:val="20"/>
          <w:lang w:eastAsia="zh-CN"/>
        </w:rPr>
      </w:pPr>
      <w:r>
        <w:rPr>
          <w:rFonts w:hint="default" w:ascii="Times New Roman" w:hAnsi="Times New Roman" w:eastAsia="宋体" w:cs="Times New Roman"/>
          <w:b/>
          <w:bCs/>
          <w:snapToGrid/>
          <w:color w:val="auto"/>
          <w:sz w:val="20"/>
          <w:szCs w:val="20"/>
          <w:lang w:eastAsia="zh-CN"/>
        </w:rPr>
        <w:t>Coding procedure:</w:t>
      </w:r>
      <w:r>
        <w:rPr>
          <w:rFonts w:ascii="Times New Roman" w:hAnsi="Times New Roman" w:cs="Times New Roman"/>
          <w:spacing w:val="4"/>
          <w:position w:val="2"/>
          <w:sz w:val="24"/>
          <w:szCs w:val="24"/>
          <w:lang w:eastAsia="zh-CN"/>
        </w:rPr>
        <w:t xml:space="preserve"> </w:t>
      </w:r>
      <w:r>
        <w:rPr>
          <w:rFonts w:hint="default" w:ascii="Times New Roman" w:hAnsi="Times New Roman" w:eastAsia="宋体" w:cs="Times New Roman"/>
          <w:snapToGrid/>
          <w:color w:val="auto"/>
          <w:sz w:val="20"/>
          <w:szCs w:val="20"/>
          <w:lang w:eastAsia="zh-CN"/>
        </w:rPr>
        <w:t>The selected articles were systematically coded to enable a structured synthesis aligned with the three research questions. A multi</w:t>
      </w:r>
      <w:r>
        <w:rPr>
          <w:rFonts w:hint="default" w:ascii="Times New Roman" w:hAnsi="Times New Roman" w:eastAsia="宋体" w:cs="Times New Roman"/>
          <w:snapToGrid/>
          <w:color w:val="auto"/>
          <w:sz w:val="20"/>
          <w:szCs w:val="20"/>
          <w:lang w:eastAsia="zh-CN"/>
        </w:rPr>
        <w:noBreakHyphen/>
      </w:r>
      <w:r>
        <w:rPr>
          <w:rFonts w:hint="default" w:ascii="Times New Roman" w:hAnsi="Times New Roman" w:eastAsia="宋体" w:cs="Times New Roman"/>
          <w:snapToGrid/>
          <w:color w:val="auto"/>
          <w:sz w:val="20"/>
          <w:szCs w:val="20"/>
          <w:lang w:eastAsia="zh-CN"/>
        </w:rPr>
        <w:t xml:space="preserve">layered coding framework was developed to capture both the contextual implementation of </w:t>
      </w:r>
      <w:r>
        <w:rPr>
          <w:rFonts w:hint="eastAsia" w:ascii="Times New Roman" w:hAnsi="Times New Roman" w:eastAsia="宋体" w:cs="Times New Roman"/>
          <w:snapToGrid/>
          <w:color w:val="auto"/>
          <w:sz w:val="20"/>
          <w:szCs w:val="20"/>
          <w:lang w:val="zh-CN" w:eastAsia="zh-CN"/>
        </w:rPr>
        <w:t>Gen</w:t>
      </w:r>
      <w:r>
        <w:rPr>
          <w:rFonts w:hint="default" w:ascii="Times New Roman" w:hAnsi="Times New Roman" w:eastAsia="宋体" w:cs="Times New Roman"/>
          <w:snapToGrid/>
          <w:color w:val="auto"/>
          <w:sz w:val="20"/>
          <w:szCs w:val="20"/>
          <w:lang w:eastAsia="zh-CN"/>
        </w:rPr>
        <w:t>AI and its psychological dimensions.</w:t>
      </w:r>
    </w:p>
    <w:p w14:paraId="2D9E3E3E">
      <w:pPr>
        <w:kinsoku/>
        <w:adjustRightInd/>
        <w:snapToGrid/>
        <w:ind w:firstLine="400" w:firstLineChars="200"/>
        <w:jc w:val="both"/>
        <w:textAlignment w:val="auto"/>
        <w:outlineLvl w:val="1"/>
        <w:rPr>
          <w:rFonts w:hint="eastAsia" w:ascii="Times New Roman" w:hAnsi="Times New Roman" w:eastAsia="宋体" w:cs="Times New Roman"/>
          <w:snapToGrid/>
          <w:color w:val="auto"/>
          <w:sz w:val="20"/>
          <w:szCs w:val="20"/>
          <w:lang w:eastAsia="zh-CN"/>
        </w:rPr>
      </w:pPr>
      <w:r>
        <w:rPr>
          <w:rFonts w:hint="default" w:ascii="Times New Roman" w:hAnsi="Times New Roman" w:eastAsia="宋体" w:cs="Times New Roman"/>
          <w:snapToGrid/>
          <w:color w:val="auto"/>
          <w:sz w:val="20"/>
          <w:szCs w:val="20"/>
          <w:lang w:eastAsia="zh-CN"/>
        </w:rPr>
        <w:t>To address</w:t>
      </w:r>
      <w:r>
        <w:rPr>
          <w:rFonts w:hint="eastAsia" w:ascii="Times New Roman" w:hAnsi="Times New Roman" w:eastAsia="宋体" w:cs="Times New Roman"/>
          <w:snapToGrid/>
          <w:color w:val="auto"/>
          <w:sz w:val="20"/>
          <w:szCs w:val="20"/>
          <w:lang w:val="en-US" w:eastAsia="zh-CN"/>
        </w:rPr>
        <w:t xml:space="preserve"> </w:t>
      </w:r>
      <w:r>
        <w:rPr>
          <w:rFonts w:hint="default" w:ascii="Times New Roman" w:hAnsi="Times New Roman" w:eastAsia="宋体" w:cs="Times New Roman"/>
          <w:snapToGrid/>
          <w:color w:val="auto"/>
          <w:sz w:val="20"/>
          <w:szCs w:val="20"/>
          <w:lang w:eastAsia="zh-CN"/>
        </w:rPr>
        <w:t xml:space="preserve">RQ1 (how </w:t>
      </w:r>
      <w:r>
        <w:rPr>
          <w:rFonts w:hint="eastAsia" w:ascii="Times New Roman" w:hAnsi="Times New Roman" w:eastAsia="宋体" w:cs="Times New Roman"/>
          <w:snapToGrid/>
          <w:color w:val="auto"/>
          <w:sz w:val="20"/>
          <w:szCs w:val="20"/>
          <w:lang w:val="zh-CN" w:eastAsia="zh-CN"/>
        </w:rPr>
        <w:t>Gen</w:t>
      </w:r>
      <w:r>
        <w:rPr>
          <w:rFonts w:hint="default" w:ascii="Times New Roman" w:hAnsi="Times New Roman" w:eastAsia="宋体" w:cs="Times New Roman"/>
          <w:snapToGrid/>
          <w:color w:val="auto"/>
          <w:sz w:val="20"/>
          <w:szCs w:val="20"/>
          <w:lang w:eastAsia="zh-CN"/>
        </w:rPr>
        <w:t>AI is applied), each study was coded according to its primary exposure context:</w:t>
      </w:r>
      <w:r>
        <w:rPr>
          <w:rFonts w:hint="eastAsia" w:ascii="Times New Roman" w:hAnsi="Times New Roman" w:eastAsia="宋体" w:cs="Times New Roman"/>
          <w:snapToGrid/>
          <w:color w:val="auto"/>
          <w:sz w:val="20"/>
          <w:szCs w:val="20"/>
          <w:lang w:val="en-US" w:eastAsia="zh-CN"/>
        </w:rPr>
        <w:t xml:space="preserve"> </w:t>
      </w:r>
      <w:r>
        <w:rPr>
          <w:rFonts w:hint="default" w:ascii="Times New Roman" w:hAnsi="Times New Roman" w:eastAsia="宋体" w:cs="Times New Roman"/>
          <w:snapToGrid/>
          <w:color w:val="auto"/>
          <w:sz w:val="20"/>
          <w:szCs w:val="20"/>
          <w:lang w:eastAsia="zh-CN"/>
        </w:rPr>
        <w:t>Workshop,</w:t>
      </w:r>
      <w:r>
        <w:rPr>
          <w:rFonts w:hint="eastAsia" w:ascii="Times New Roman" w:hAnsi="Times New Roman" w:eastAsia="宋体" w:cs="Times New Roman"/>
          <w:snapToGrid/>
          <w:color w:val="auto"/>
          <w:sz w:val="20"/>
          <w:szCs w:val="20"/>
          <w:lang w:val="en-US" w:eastAsia="zh-CN"/>
        </w:rPr>
        <w:t xml:space="preserve"> </w:t>
      </w:r>
      <w:r>
        <w:rPr>
          <w:rFonts w:hint="default" w:ascii="Times New Roman" w:hAnsi="Times New Roman" w:eastAsia="宋体" w:cs="Times New Roman"/>
          <w:snapToGrid/>
          <w:color w:val="auto"/>
          <w:sz w:val="20"/>
          <w:szCs w:val="20"/>
          <w:lang w:eastAsia="zh-CN"/>
        </w:rPr>
        <w:t>Studio/Course Task,</w:t>
      </w:r>
      <w:r>
        <w:rPr>
          <w:rFonts w:hint="eastAsia" w:ascii="Times New Roman" w:hAnsi="Times New Roman" w:eastAsia="宋体" w:cs="Times New Roman"/>
          <w:snapToGrid/>
          <w:color w:val="auto"/>
          <w:sz w:val="20"/>
          <w:szCs w:val="20"/>
          <w:lang w:val="en-US" w:eastAsia="zh-CN"/>
        </w:rPr>
        <w:t xml:space="preserve"> </w:t>
      </w:r>
      <w:r>
        <w:rPr>
          <w:rFonts w:hint="default" w:ascii="Times New Roman" w:hAnsi="Times New Roman" w:eastAsia="宋体" w:cs="Times New Roman"/>
          <w:snapToGrid/>
          <w:color w:val="auto"/>
          <w:sz w:val="20"/>
          <w:szCs w:val="20"/>
          <w:lang w:eastAsia="zh-CN"/>
        </w:rPr>
        <w:t>Challenge/Hackathon,</w:t>
      </w:r>
      <w:r>
        <w:rPr>
          <w:rFonts w:hint="eastAsia" w:ascii="Times New Roman" w:hAnsi="Times New Roman" w:eastAsia="宋体" w:cs="Times New Roman"/>
          <w:snapToGrid/>
          <w:color w:val="auto"/>
          <w:sz w:val="20"/>
          <w:szCs w:val="20"/>
          <w:lang w:val="en-US" w:eastAsia="zh-CN"/>
        </w:rPr>
        <w:t xml:space="preserve"> </w:t>
      </w:r>
      <w:r>
        <w:rPr>
          <w:rFonts w:hint="default" w:ascii="Times New Roman" w:hAnsi="Times New Roman" w:eastAsia="宋体" w:cs="Times New Roman"/>
          <w:snapToGrid/>
          <w:color w:val="auto"/>
          <w:sz w:val="20"/>
          <w:szCs w:val="20"/>
          <w:lang w:eastAsia="zh-CN"/>
        </w:rPr>
        <w:t>Controlled Experiment,</w:t>
      </w:r>
      <w:r>
        <w:rPr>
          <w:rFonts w:hint="eastAsia" w:ascii="Times New Roman" w:hAnsi="Times New Roman" w:eastAsia="宋体" w:cs="Times New Roman"/>
          <w:snapToGrid/>
          <w:color w:val="auto"/>
          <w:sz w:val="20"/>
          <w:szCs w:val="20"/>
          <w:lang w:val="en-US" w:eastAsia="zh-CN"/>
        </w:rPr>
        <w:t xml:space="preserve"> </w:t>
      </w:r>
      <w:r>
        <w:rPr>
          <w:rFonts w:hint="default" w:ascii="Times New Roman" w:hAnsi="Times New Roman" w:eastAsia="宋体" w:cs="Times New Roman"/>
          <w:snapToGrid/>
          <w:color w:val="auto"/>
          <w:sz w:val="20"/>
          <w:szCs w:val="20"/>
          <w:lang w:eastAsia="zh-CN"/>
        </w:rPr>
        <w:t>Survey</w:t>
      </w:r>
      <w:r>
        <w:rPr>
          <w:rFonts w:hint="default" w:ascii="Times New Roman" w:hAnsi="Times New Roman" w:eastAsia="宋体" w:cs="Times New Roman"/>
          <w:snapToGrid/>
          <w:color w:val="auto"/>
          <w:sz w:val="20"/>
          <w:szCs w:val="20"/>
          <w:lang w:eastAsia="zh-CN"/>
        </w:rPr>
        <w:noBreakHyphen/>
      </w:r>
      <w:r>
        <w:rPr>
          <w:rFonts w:hint="default" w:ascii="Times New Roman" w:hAnsi="Times New Roman" w:eastAsia="宋体" w:cs="Times New Roman"/>
          <w:snapToGrid/>
          <w:color w:val="auto"/>
          <w:sz w:val="20"/>
          <w:szCs w:val="20"/>
          <w:lang w:eastAsia="zh-CN"/>
        </w:rPr>
        <w:t>only, or</w:t>
      </w:r>
      <w:r>
        <w:rPr>
          <w:rFonts w:hint="eastAsia" w:ascii="Times New Roman" w:hAnsi="Times New Roman" w:eastAsia="宋体" w:cs="Times New Roman"/>
          <w:snapToGrid/>
          <w:color w:val="auto"/>
          <w:sz w:val="20"/>
          <w:szCs w:val="20"/>
          <w:lang w:val="en-US" w:eastAsia="zh-CN"/>
        </w:rPr>
        <w:t xml:space="preserve"> </w:t>
      </w:r>
      <w:r>
        <w:rPr>
          <w:rFonts w:hint="default" w:ascii="Times New Roman" w:hAnsi="Times New Roman" w:eastAsia="宋体" w:cs="Times New Roman"/>
          <w:snapToGrid/>
          <w:color w:val="auto"/>
          <w:sz w:val="20"/>
          <w:szCs w:val="20"/>
          <w:lang w:eastAsia="zh-CN"/>
        </w:rPr>
        <w:t xml:space="preserve">Naturalistic Use. This categorization clarified the pedagogical modes through which </w:t>
      </w:r>
      <w:r>
        <w:rPr>
          <w:rFonts w:hint="eastAsia" w:ascii="Times New Roman" w:hAnsi="Times New Roman" w:eastAsia="宋体" w:cs="Times New Roman"/>
          <w:snapToGrid/>
          <w:color w:val="auto"/>
          <w:sz w:val="20"/>
          <w:szCs w:val="20"/>
          <w:lang w:val="zh-CN" w:eastAsia="zh-CN"/>
        </w:rPr>
        <w:t>Gen</w:t>
      </w:r>
      <w:r>
        <w:rPr>
          <w:rFonts w:hint="default" w:ascii="Times New Roman" w:hAnsi="Times New Roman" w:eastAsia="宋体" w:cs="Times New Roman"/>
          <w:snapToGrid/>
          <w:color w:val="auto"/>
          <w:sz w:val="20"/>
          <w:szCs w:val="20"/>
          <w:lang w:eastAsia="zh-CN"/>
        </w:rPr>
        <w:t>AI tools were introduced and utilized in creative education.</w:t>
      </w:r>
    </w:p>
    <w:p w14:paraId="251DA64C">
      <w:pPr>
        <w:kinsoku/>
        <w:adjustRightInd/>
        <w:snapToGrid/>
        <w:ind w:firstLine="400" w:firstLineChars="200"/>
        <w:jc w:val="both"/>
        <w:textAlignment w:val="auto"/>
        <w:outlineLvl w:val="1"/>
        <w:rPr>
          <w:rFonts w:hint="eastAsia" w:ascii="Times New Roman" w:hAnsi="Times New Roman" w:eastAsia="宋体" w:cs="Times New Roman"/>
          <w:snapToGrid/>
          <w:color w:val="auto"/>
          <w:sz w:val="20"/>
          <w:szCs w:val="20"/>
          <w:lang w:eastAsia="zh-CN"/>
        </w:rPr>
      </w:pPr>
      <w:r>
        <w:rPr>
          <w:rFonts w:hint="default" w:ascii="Times New Roman" w:hAnsi="Times New Roman" w:eastAsia="宋体" w:cs="Times New Roman"/>
          <w:snapToGrid/>
          <w:color w:val="auto"/>
          <w:sz w:val="20"/>
          <w:szCs w:val="20"/>
          <w:lang w:eastAsia="zh-CN"/>
        </w:rPr>
        <w:t>For</w:t>
      </w:r>
      <w:r>
        <w:rPr>
          <w:rFonts w:hint="eastAsia" w:ascii="Times New Roman" w:hAnsi="Times New Roman" w:eastAsia="宋体" w:cs="Times New Roman"/>
          <w:snapToGrid/>
          <w:color w:val="auto"/>
          <w:sz w:val="20"/>
          <w:szCs w:val="20"/>
          <w:lang w:val="en-US" w:eastAsia="zh-CN"/>
        </w:rPr>
        <w:t xml:space="preserve"> </w:t>
      </w:r>
      <w:r>
        <w:rPr>
          <w:rFonts w:hint="default" w:ascii="Times New Roman" w:hAnsi="Times New Roman" w:eastAsia="宋体" w:cs="Times New Roman"/>
          <w:snapToGrid/>
          <w:color w:val="auto"/>
          <w:sz w:val="20"/>
          <w:szCs w:val="20"/>
          <w:lang w:eastAsia="zh-CN"/>
        </w:rPr>
        <w:t>RQ2 (psychological challenges), we extracted and coded data concerning learners’ self</w:t>
      </w:r>
      <w:r>
        <w:rPr>
          <w:rFonts w:hint="default" w:ascii="Times New Roman" w:hAnsi="Times New Roman" w:eastAsia="宋体" w:cs="Times New Roman"/>
          <w:snapToGrid/>
          <w:color w:val="auto"/>
          <w:sz w:val="20"/>
          <w:szCs w:val="20"/>
          <w:lang w:eastAsia="zh-CN"/>
        </w:rPr>
        <w:noBreakHyphen/>
      </w:r>
      <w:r>
        <w:rPr>
          <w:rFonts w:hint="default" w:ascii="Times New Roman" w:hAnsi="Times New Roman" w:eastAsia="宋体" w:cs="Times New Roman"/>
          <w:snapToGrid/>
          <w:color w:val="auto"/>
          <w:sz w:val="20"/>
          <w:szCs w:val="20"/>
          <w:lang w:eastAsia="zh-CN"/>
        </w:rPr>
        <w:t>efficacy, identity threat, and forms of anxiety (creativity, employment, and ethics</w:t>
      </w:r>
      <w:r>
        <w:rPr>
          <w:rFonts w:hint="default" w:ascii="Times New Roman" w:hAnsi="Times New Roman" w:eastAsia="宋体" w:cs="Times New Roman"/>
          <w:snapToGrid/>
          <w:color w:val="auto"/>
          <w:sz w:val="20"/>
          <w:szCs w:val="20"/>
          <w:lang w:eastAsia="zh-CN"/>
        </w:rPr>
        <w:noBreakHyphen/>
      </w:r>
      <w:r>
        <w:rPr>
          <w:rFonts w:hint="default" w:ascii="Times New Roman" w:hAnsi="Times New Roman" w:eastAsia="宋体" w:cs="Times New Roman"/>
          <w:snapToGrid/>
          <w:color w:val="auto"/>
          <w:sz w:val="20"/>
          <w:szCs w:val="20"/>
          <w:lang w:eastAsia="zh-CN"/>
        </w:rPr>
        <w:t>related). The presence, direction (e.g., enhanced or reduced), and reported intensity of these psychological constructs were documented based on explicit findings or discursive mentions in the texts.</w:t>
      </w:r>
    </w:p>
    <w:p w14:paraId="5B43A4E2">
      <w:pPr>
        <w:kinsoku/>
        <w:adjustRightInd/>
        <w:snapToGrid/>
        <w:ind w:firstLine="400" w:firstLineChars="200"/>
        <w:jc w:val="both"/>
        <w:textAlignment w:val="auto"/>
        <w:outlineLvl w:val="1"/>
        <w:rPr>
          <w:rFonts w:hint="eastAsia" w:ascii="Times New Roman" w:hAnsi="Times New Roman" w:eastAsia="宋体" w:cs="Times New Roman"/>
          <w:snapToGrid/>
          <w:color w:val="auto"/>
          <w:sz w:val="20"/>
          <w:szCs w:val="20"/>
          <w:lang w:eastAsia="zh-CN"/>
        </w:rPr>
      </w:pPr>
      <w:r>
        <w:rPr>
          <w:rFonts w:hint="default" w:ascii="Times New Roman" w:hAnsi="Times New Roman" w:eastAsia="宋体" w:cs="Times New Roman"/>
          <w:snapToGrid/>
          <w:color w:val="auto"/>
          <w:sz w:val="20"/>
          <w:szCs w:val="20"/>
          <w:lang w:eastAsia="zh-CN"/>
        </w:rPr>
        <w:t>Regarding</w:t>
      </w:r>
      <w:r>
        <w:rPr>
          <w:rFonts w:hint="eastAsia" w:ascii="Times New Roman" w:hAnsi="Times New Roman" w:eastAsia="宋体" w:cs="Times New Roman"/>
          <w:snapToGrid/>
          <w:color w:val="auto"/>
          <w:sz w:val="20"/>
          <w:szCs w:val="20"/>
          <w:lang w:val="en-US" w:eastAsia="zh-CN"/>
        </w:rPr>
        <w:t xml:space="preserve"> </w:t>
      </w:r>
      <w:r>
        <w:rPr>
          <w:rFonts w:hint="default" w:ascii="Times New Roman" w:hAnsi="Times New Roman" w:eastAsia="宋体" w:cs="Times New Roman"/>
          <w:snapToGrid/>
          <w:color w:val="auto"/>
          <w:sz w:val="20"/>
          <w:szCs w:val="20"/>
          <w:lang w:eastAsia="zh-CN"/>
        </w:rPr>
        <w:t xml:space="preserve">RQ3 (research gaps), we analyzed the </w:t>
      </w:r>
      <w:r>
        <w:rPr>
          <w:rFonts w:hint="default" w:ascii="Times New Roman" w:hAnsi="Times New Roman" w:eastAsia="宋体" w:cs="Times New Roman"/>
          <w:snapToGrid/>
          <w:color w:val="auto"/>
          <w:sz w:val="20"/>
          <w:szCs w:val="20"/>
          <w:lang w:val="en-US" w:eastAsia="zh-CN"/>
        </w:rPr>
        <w:t>“</w:t>
      </w:r>
      <w:r>
        <w:rPr>
          <w:rFonts w:hint="default" w:ascii="Times New Roman" w:hAnsi="Times New Roman" w:eastAsia="宋体" w:cs="Times New Roman"/>
          <w:snapToGrid/>
          <w:color w:val="auto"/>
          <w:sz w:val="20"/>
          <w:szCs w:val="20"/>
          <w:lang w:eastAsia="zh-CN"/>
        </w:rPr>
        <w:t>limitations” and “future work” sections of each paper. Recurring recommendations were grouped into ten thematic gaps (C1–C10), allowing a systematic identification of under</w:t>
      </w:r>
      <w:r>
        <w:rPr>
          <w:rFonts w:hint="eastAsia" w:ascii="Times New Roman" w:hAnsi="Times New Roman" w:eastAsia="宋体" w:cs="Times New Roman"/>
          <w:snapToGrid/>
          <w:color w:val="auto"/>
          <w:sz w:val="20"/>
          <w:szCs w:val="20"/>
          <w:lang w:val="en-US" w:eastAsia="zh-CN"/>
        </w:rPr>
        <w:t xml:space="preserve"> </w:t>
      </w:r>
      <w:r>
        <w:rPr>
          <w:rFonts w:hint="default" w:ascii="Times New Roman" w:hAnsi="Times New Roman" w:eastAsia="宋体" w:cs="Times New Roman"/>
          <w:snapToGrid/>
          <w:color w:val="auto"/>
          <w:sz w:val="20"/>
          <w:szCs w:val="20"/>
          <w:lang w:eastAsia="zh-CN"/>
        </w:rPr>
        <w:t>explored areas.</w:t>
      </w:r>
    </w:p>
    <w:p w14:paraId="48D77944">
      <w:pPr>
        <w:kinsoku/>
        <w:adjustRightInd/>
        <w:snapToGrid/>
        <w:ind w:firstLine="400" w:firstLineChars="200"/>
        <w:jc w:val="both"/>
        <w:textAlignment w:val="auto"/>
        <w:outlineLvl w:val="1"/>
        <w:rPr>
          <w:rFonts w:hint="default" w:ascii="Times New Roman" w:hAnsi="Times New Roman" w:eastAsia="宋体" w:cs="Times New Roman"/>
          <w:snapToGrid/>
          <w:color w:val="auto"/>
          <w:sz w:val="20"/>
          <w:szCs w:val="20"/>
          <w:lang w:eastAsia="zh-CN"/>
        </w:rPr>
      </w:pPr>
      <w:r>
        <w:rPr>
          <w:rFonts w:hint="default" w:ascii="Times New Roman" w:hAnsi="Times New Roman" w:eastAsia="宋体" w:cs="Times New Roman"/>
          <w:snapToGrid/>
          <w:color w:val="auto"/>
          <w:sz w:val="20"/>
          <w:szCs w:val="20"/>
          <w:lang w:eastAsia="zh-CN"/>
        </w:rPr>
        <w:t>To ensure reliability, the coding was first performed by the lead author. A second researcher then independently coded a subset (20%) of the articles. Any discrepancies were resolved through discussion until consensus was reached. The coded data were analyzed both quantitatively (frequencies, percentages) and qualitatively (thematic patterns), with findings presented in the subsequent sections.</w:t>
      </w:r>
    </w:p>
    <w:p w14:paraId="4AAE83E6">
      <w:pPr>
        <w:snapToGrid/>
        <w:spacing w:before="122" w:line="480" w:lineRule="auto"/>
        <w:contextualSpacing/>
        <w:jc w:val="both"/>
        <w:outlineLvl w:val="1"/>
        <w:rPr>
          <w:rFonts w:hint="eastAsia" w:ascii="Times New Roman" w:hAnsi="Times New Roman" w:eastAsia="Times New Roman" w:cs="Times New Roman"/>
          <w:b/>
          <w:bCs/>
          <w:snapToGrid/>
          <w:color w:val="auto"/>
          <w:sz w:val="24"/>
          <w:szCs w:val="24"/>
          <w:lang w:val="en-US" w:eastAsia="zh-CN"/>
        </w:rPr>
      </w:pPr>
      <w:r>
        <w:rPr>
          <w:rFonts w:hint="eastAsia" w:ascii="Times New Roman" w:hAnsi="Times New Roman" w:eastAsia="Times New Roman" w:cs="Times New Roman"/>
          <w:b/>
          <w:bCs/>
          <w:snapToGrid/>
          <w:color w:val="auto"/>
          <w:sz w:val="24"/>
          <w:szCs w:val="24"/>
          <w:lang w:val="en-US" w:eastAsia="zh-CN"/>
        </w:rPr>
        <w:t>Results</w:t>
      </w:r>
      <w:r>
        <w:rPr>
          <w:rFonts w:hint="default" w:ascii="Times New Roman" w:hAnsi="Times New Roman" w:eastAsia="Times New Roman" w:cs="Times New Roman"/>
          <w:b/>
          <w:bCs/>
          <w:snapToGrid/>
          <w:color w:val="auto"/>
          <w:sz w:val="24"/>
          <w:szCs w:val="24"/>
          <w:lang w:val="en-US" w:eastAsia="zh-CN"/>
        </w:rPr>
        <w:t xml:space="preserve"> and discussion</w:t>
      </w:r>
    </w:p>
    <w:p w14:paraId="15D562F5">
      <w:pPr>
        <w:kinsoku/>
        <w:adjustRightInd/>
        <w:snapToGrid/>
        <w:jc w:val="both"/>
        <w:textAlignment w:val="auto"/>
        <w:outlineLvl w:val="1"/>
        <w:rPr>
          <w:rFonts w:hint="eastAsia" w:ascii="Times New Roman" w:hAnsi="Times New Roman" w:eastAsia="宋体" w:cs="Times New Roman"/>
          <w:snapToGrid/>
          <w:color w:val="auto"/>
          <w:sz w:val="20"/>
          <w:szCs w:val="20"/>
          <w:lang w:eastAsia="zh-CN"/>
        </w:rPr>
      </w:pPr>
      <w:r>
        <w:rPr>
          <w:rFonts w:hint="default" w:ascii="Times New Roman" w:hAnsi="Times New Roman" w:eastAsia="宋体" w:cs="Times New Roman"/>
          <w:snapToGrid/>
          <w:color w:val="auto"/>
          <w:sz w:val="20"/>
          <w:szCs w:val="20"/>
          <w:lang w:eastAsia="zh-CN"/>
        </w:rPr>
        <w:t>In accordance with the content analysis and coding criteria</w:t>
      </w:r>
      <w:r>
        <w:rPr>
          <w:rFonts w:hint="eastAsia" w:ascii="Times New Roman" w:hAnsi="Times New Roman" w:eastAsia="宋体" w:cs="Times New Roman"/>
          <w:snapToGrid/>
          <w:color w:val="auto"/>
          <w:sz w:val="20"/>
          <w:szCs w:val="20"/>
          <w:lang w:eastAsia="zh-CN"/>
        </w:rPr>
        <w:t xml:space="preserve"> </w:t>
      </w:r>
      <w:r>
        <w:rPr>
          <w:rFonts w:hint="default" w:ascii="Times New Roman" w:hAnsi="Times New Roman" w:eastAsia="宋体" w:cs="Times New Roman"/>
          <w:snapToGrid/>
          <w:color w:val="auto"/>
          <w:sz w:val="20"/>
          <w:szCs w:val="20"/>
          <w:lang w:eastAsia="zh-CN"/>
        </w:rPr>
        <w:t>examined.</w:t>
      </w:r>
      <w:r>
        <w:rPr>
          <w:rFonts w:hint="eastAsia" w:ascii="Times New Roman" w:hAnsi="Times New Roman" w:eastAsia="宋体" w:cs="Times New Roman"/>
          <w:snapToGrid/>
          <w:color w:val="auto"/>
          <w:sz w:val="20"/>
          <w:szCs w:val="20"/>
          <w:lang w:eastAsia="zh-CN"/>
        </w:rPr>
        <w:t xml:space="preserve"> </w:t>
      </w:r>
      <w:r>
        <w:rPr>
          <w:rFonts w:hint="default" w:ascii="Times New Roman" w:hAnsi="Times New Roman" w:eastAsia="宋体" w:cs="Times New Roman"/>
          <w:snapToGrid/>
          <w:color w:val="auto"/>
          <w:sz w:val="20"/>
          <w:szCs w:val="20"/>
          <w:lang w:eastAsia="zh-CN"/>
        </w:rPr>
        <w:t>The</w:t>
      </w:r>
      <w:r>
        <w:rPr>
          <w:rFonts w:hint="eastAsia" w:ascii="Times New Roman" w:hAnsi="Times New Roman" w:eastAsia="宋体" w:cs="Times New Roman"/>
          <w:snapToGrid/>
          <w:color w:val="auto"/>
          <w:sz w:val="20"/>
          <w:szCs w:val="20"/>
          <w:lang w:eastAsia="zh-CN"/>
        </w:rPr>
        <w:t xml:space="preserve"> </w:t>
      </w:r>
      <w:r>
        <w:rPr>
          <w:rFonts w:hint="default" w:ascii="Times New Roman" w:hAnsi="Times New Roman" w:eastAsia="宋体" w:cs="Times New Roman"/>
          <w:snapToGrid/>
          <w:color w:val="auto"/>
          <w:sz w:val="20"/>
          <w:szCs w:val="20"/>
          <w:lang w:eastAsia="zh-CN"/>
        </w:rPr>
        <w:t>mentioned above 20 papers were thoroughly following sections present the results and provide a corresponding discussion of the research questions.</w:t>
      </w:r>
    </w:p>
    <w:p w14:paraId="669AB7A6">
      <w:pPr>
        <w:pStyle w:val="6"/>
        <w:snapToGrid/>
        <w:spacing w:before="55" w:line="480" w:lineRule="auto"/>
        <w:contextualSpacing/>
        <w:jc w:val="both"/>
        <w:outlineLvl w:val="2"/>
        <w:rPr>
          <w:rFonts w:ascii="Times New Roman" w:hAnsi="Times New Roman" w:eastAsia="宋体" w:cs="Times New Roman"/>
          <w:b/>
          <w:bCs/>
          <w:snapToGrid/>
          <w:sz w:val="20"/>
          <w:szCs w:val="20"/>
          <w:lang w:val="en-US" w:eastAsia="zh-CN" w:bidi="ar-SA"/>
        </w:rPr>
      </w:pPr>
      <w:r>
        <w:rPr>
          <w:rFonts w:ascii="Times New Roman" w:hAnsi="Times New Roman" w:eastAsia="宋体" w:cs="Times New Roman"/>
          <w:b/>
          <w:bCs/>
          <w:snapToGrid/>
          <w:sz w:val="20"/>
          <w:szCs w:val="20"/>
          <w:lang w:val="en-US" w:eastAsia="zh-CN" w:bidi="ar-SA"/>
        </w:rPr>
        <w:t xml:space="preserve">RQ1: What Are Hypothetical </w:t>
      </w:r>
      <w:r>
        <w:rPr>
          <w:rFonts w:hint="eastAsia" w:ascii="Times New Roman" w:hAnsi="Times New Roman" w:eastAsia="宋体" w:cs="Times New Roman"/>
          <w:b/>
          <w:bCs/>
          <w:snapToGrid/>
          <w:sz w:val="20"/>
          <w:szCs w:val="20"/>
          <w:lang w:val="en-US" w:eastAsia="zh-CN" w:bidi="ar-SA"/>
        </w:rPr>
        <w:t>Gen</w:t>
      </w:r>
      <w:r>
        <w:rPr>
          <w:rFonts w:ascii="Times New Roman" w:hAnsi="Times New Roman" w:eastAsia="宋体" w:cs="Times New Roman"/>
          <w:b/>
          <w:bCs/>
          <w:snapToGrid/>
          <w:sz w:val="20"/>
          <w:szCs w:val="20"/>
          <w:lang w:val="en-US" w:eastAsia="zh-CN" w:bidi="ar-SA"/>
        </w:rPr>
        <w:t>AI Applications in creative Education?</w:t>
      </w:r>
    </w:p>
    <w:p w14:paraId="5C5D0360">
      <w:pPr>
        <w:kinsoku/>
        <w:adjustRightInd/>
        <w:snapToGrid/>
        <w:jc w:val="both"/>
        <w:textAlignment w:val="auto"/>
        <w:outlineLvl w:val="1"/>
        <w:rPr>
          <w:rFonts w:hint="default" w:ascii="Times New Roman" w:hAnsi="Times New Roman" w:eastAsia="宋体" w:cs="Times New Roman"/>
          <w:snapToGrid/>
          <w:color w:val="auto"/>
          <w:sz w:val="20"/>
          <w:szCs w:val="20"/>
          <w:lang w:eastAsia="zh-CN"/>
        </w:rPr>
      </w:pPr>
      <w:r>
        <w:rPr>
          <w:rFonts w:hint="default" w:ascii="Times New Roman" w:hAnsi="Times New Roman" w:eastAsia="宋体" w:cs="Times New Roman"/>
          <w:snapToGrid/>
          <w:color w:val="auto"/>
          <w:sz w:val="20"/>
          <w:szCs w:val="20"/>
          <w:lang w:eastAsia="zh-CN"/>
        </w:rPr>
        <w:t>This scoping review is a synthesis of 20 empirical studies (3,952 participants) to investigate the application of GenAI in creative training and offers insight into geographic settings, study area, and the level of experience learners have with it.</w:t>
      </w:r>
      <w:r>
        <w:rPr>
          <w:rFonts w:hint="eastAsia" w:ascii="Times New Roman" w:hAnsi="Times New Roman" w:eastAsia="宋体" w:cs="Times New Roman"/>
          <w:snapToGrid/>
          <w:color w:val="auto"/>
          <w:sz w:val="20"/>
          <w:szCs w:val="20"/>
          <w:lang w:val="en-US" w:eastAsia="zh-CN"/>
        </w:rPr>
        <w:t xml:space="preserve"> </w:t>
      </w:r>
      <w:r>
        <w:rPr>
          <w:rFonts w:hint="default" w:ascii="Times New Roman" w:hAnsi="Times New Roman" w:eastAsia="宋体" w:cs="Times New Roman"/>
          <w:snapToGrid/>
          <w:color w:val="auto"/>
          <w:sz w:val="20"/>
          <w:szCs w:val="20"/>
          <w:lang w:eastAsia="zh-CN"/>
        </w:rPr>
        <w:t xml:space="preserve">To provide an overview of the empirical landscape of the included studies before examining specific application patterns, </w:t>
      </w:r>
      <w:r>
        <w:rPr>
          <w:rFonts w:hint="eastAsia" w:ascii="Times New Roman" w:hAnsi="Times New Roman" w:eastAsia="宋体" w:cs="Times New Roman"/>
          <w:snapToGrid/>
          <w:color w:val="auto"/>
          <w:sz w:val="20"/>
          <w:szCs w:val="20"/>
          <w:lang w:val="en-US" w:eastAsia="zh-CN"/>
        </w:rPr>
        <w:t>Figure</w:t>
      </w:r>
      <w:r>
        <w:rPr>
          <w:rFonts w:hint="default" w:ascii="Times New Roman" w:hAnsi="Times New Roman" w:eastAsia="宋体" w:cs="Times New Roman"/>
          <w:snapToGrid/>
          <w:color w:val="auto"/>
          <w:sz w:val="20"/>
          <w:szCs w:val="20"/>
          <w:lang w:eastAsia="zh-CN"/>
        </w:rPr>
        <w:t xml:space="preserve"> </w:t>
      </w:r>
      <w:r>
        <w:rPr>
          <w:rFonts w:hint="eastAsia" w:ascii="Times New Roman" w:hAnsi="Times New Roman" w:eastAsia="宋体" w:cs="Times New Roman"/>
          <w:snapToGrid/>
          <w:color w:val="auto"/>
          <w:sz w:val="20"/>
          <w:szCs w:val="20"/>
          <w:lang w:val="en-US" w:eastAsia="zh-CN"/>
        </w:rPr>
        <w:t>3</w:t>
      </w:r>
      <w:r>
        <w:rPr>
          <w:rFonts w:hint="default" w:ascii="Times New Roman" w:hAnsi="Times New Roman" w:eastAsia="宋体" w:cs="Times New Roman"/>
          <w:snapToGrid/>
          <w:color w:val="auto"/>
          <w:sz w:val="20"/>
          <w:szCs w:val="20"/>
          <w:lang w:eastAsia="zh-CN"/>
        </w:rPr>
        <w:t xml:space="preserve"> summarizes the distribution of studies across geographic regions, disciplines, </w:t>
      </w:r>
      <w:r>
        <w:rPr>
          <w:rFonts w:hint="eastAsia" w:ascii="Times New Roman" w:hAnsi="Times New Roman" w:eastAsia="宋体" w:cs="Times New Roman"/>
          <w:snapToGrid/>
          <w:color w:val="auto"/>
          <w:sz w:val="20"/>
          <w:szCs w:val="20"/>
          <w:lang w:val="en-US" w:eastAsia="zh-CN"/>
        </w:rPr>
        <w:t>Gen</w:t>
      </w:r>
      <w:r>
        <w:rPr>
          <w:rFonts w:hint="default" w:ascii="Times New Roman" w:hAnsi="Times New Roman" w:eastAsia="宋体" w:cs="Times New Roman"/>
          <w:snapToGrid/>
          <w:color w:val="auto"/>
          <w:sz w:val="20"/>
          <w:szCs w:val="20"/>
          <w:lang w:eastAsia="zh-CN"/>
        </w:rPr>
        <w:t>AI tool types, and participant groups.</w:t>
      </w:r>
    </w:p>
    <w:p w14:paraId="09410AD7">
      <w:pPr>
        <w:pStyle w:val="6"/>
        <w:snapToGrid/>
        <w:spacing w:before="55" w:line="480" w:lineRule="auto"/>
        <w:contextualSpacing/>
        <w:jc w:val="both"/>
        <w:outlineLvl w:val="2"/>
        <w:rPr>
          <w:rFonts w:hint="default" w:ascii="Times New Roman" w:hAnsi="Times New Roman" w:cs="Times New Roman"/>
          <w:spacing w:val="4"/>
          <w:position w:val="2"/>
          <w:sz w:val="24"/>
          <w:szCs w:val="24"/>
          <w:lang w:eastAsia="zh-CN"/>
        </w:rPr>
      </w:pPr>
      <w:r>
        <w:rPr>
          <w:rFonts w:hint="default" w:ascii="Times New Roman" w:hAnsi="Times New Roman" w:cs="Times New Roman"/>
          <w:spacing w:val="4"/>
          <w:position w:val="2"/>
          <w:sz w:val="24"/>
          <w:szCs w:val="24"/>
          <w:lang w:eastAsia="zh-CN"/>
        </w:rPr>
        <w:drawing>
          <wp:inline distT="0" distB="0" distL="114300" distR="114300">
            <wp:extent cx="5273040" cy="3234690"/>
            <wp:effectExtent l="0" t="0" r="0" b="0"/>
            <wp:docPr id="2" name="图片 2" descr="Graph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Graph01"/>
                    <pic:cNvPicPr>
                      <a:picLocks noChangeAspect="1"/>
                    </pic:cNvPicPr>
                  </pic:nvPicPr>
                  <pic:blipFill>
                    <a:blip r:embed="rId8">
                      <a:extLst>
                        <a:ext uri="{96DAC541-7B7A-43D3-8B79-37D633B846F1}">
                          <asvg:svgBlip xmlns:asvg="http://schemas.microsoft.com/office/drawing/2016/SVG/main" r:embed="rId9"/>
                        </a:ext>
                      </a:extLst>
                    </a:blip>
                    <a:srcRect t="8030" b="11762"/>
                    <a:stretch>
                      <a:fillRect/>
                    </a:stretch>
                  </pic:blipFill>
                  <pic:spPr>
                    <a:xfrm>
                      <a:off x="0" y="0"/>
                      <a:ext cx="5273040" cy="3234690"/>
                    </a:xfrm>
                    <a:prstGeom prst="rect">
                      <a:avLst/>
                    </a:prstGeom>
                  </pic:spPr>
                </pic:pic>
              </a:graphicData>
            </a:graphic>
          </wp:inline>
        </w:drawing>
      </w:r>
    </w:p>
    <w:p w14:paraId="447FC699">
      <w:pPr>
        <w:widowControl w:val="0"/>
        <w:kinsoku/>
        <w:autoSpaceDE/>
        <w:autoSpaceDN/>
        <w:adjustRightInd/>
        <w:snapToGrid/>
        <w:jc w:val="both"/>
        <w:textAlignment w:val="auto"/>
        <w:rPr>
          <w:rFonts w:hint="default" w:ascii="Times New Roman" w:hAnsi="Times New Roman" w:cs="Times New Roman" w:eastAsiaTheme="minorEastAsia"/>
          <w:b w:val="0"/>
          <w:bCs w:val="0"/>
          <w:snapToGrid/>
          <w:kern w:val="2"/>
          <w:sz w:val="18"/>
          <w:szCs w:val="18"/>
          <w:lang w:val="en-US" w:eastAsia="zh-CN"/>
        </w:rPr>
      </w:pPr>
      <w:r>
        <w:rPr>
          <w:rFonts w:hint="default" w:ascii="Times New Roman" w:hAnsi="Times New Roman" w:cs="Times New Roman" w:eastAsiaTheme="minorEastAsia"/>
          <w:b/>
          <w:bCs/>
          <w:snapToGrid/>
          <w:kern w:val="2"/>
          <w:sz w:val="18"/>
          <w:szCs w:val="18"/>
          <w:lang w:val="en-US" w:eastAsia="zh-CN"/>
        </w:rPr>
        <w:t xml:space="preserve">Figure </w:t>
      </w:r>
      <w:r>
        <w:rPr>
          <w:rFonts w:hint="eastAsia" w:ascii="Times New Roman" w:hAnsi="Times New Roman" w:cs="Times New Roman" w:eastAsiaTheme="minorEastAsia"/>
          <w:b/>
          <w:bCs/>
          <w:snapToGrid/>
          <w:kern w:val="2"/>
          <w:sz w:val="18"/>
          <w:szCs w:val="18"/>
          <w:lang w:val="en-US" w:eastAsia="zh-CN"/>
        </w:rPr>
        <w:t>3</w:t>
      </w:r>
      <w:r>
        <w:rPr>
          <w:rFonts w:hint="default" w:ascii="Times New Roman" w:hAnsi="Times New Roman" w:cs="Times New Roman" w:eastAsiaTheme="minorEastAsia"/>
          <w:b/>
          <w:bCs/>
          <w:snapToGrid/>
          <w:kern w:val="2"/>
          <w:sz w:val="18"/>
          <w:szCs w:val="18"/>
          <w:lang w:val="en-US" w:eastAsia="zh-CN"/>
        </w:rPr>
        <w:t xml:space="preserve">. </w:t>
      </w:r>
      <w:r>
        <w:rPr>
          <w:rFonts w:hint="default" w:ascii="Times New Roman" w:hAnsi="Times New Roman" w:cs="Times New Roman" w:eastAsiaTheme="minorEastAsia"/>
          <w:b w:val="0"/>
          <w:bCs w:val="0"/>
          <w:snapToGrid/>
          <w:kern w:val="2"/>
          <w:sz w:val="18"/>
          <w:szCs w:val="18"/>
          <w:lang w:val="en-US" w:eastAsia="zh-CN"/>
        </w:rPr>
        <w:t>Landscape of the included empirical studies (N = 20)</w:t>
      </w:r>
    </w:p>
    <w:p w14:paraId="195D5165">
      <w:pPr>
        <w:pStyle w:val="6"/>
        <w:snapToGrid/>
        <w:spacing w:before="55" w:line="480" w:lineRule="auto"/>
        <w:contextualSpacing/>
        <w:jc w:val="both"/>
        <w:outlineLvl w:val="2"/>
        <w:rPr>
          <w:rFonts w:hint="eastAsia" w:ascii="Times New Roman" w:hAnsi="Times New Roman" w:eastAsia="宋体" w:cs="Times New Roman"/>
          <w:b/>
          <w:bCs/>
          <w:snapToGrid/>
          <w:sz w:val="20"/>
          <w:szCs w:val="20"/>
          <w:lang w:val="en-US" w:eastAsia="zh-CN" w:bidi="ar-SA"/>
        </w:rPr>
      </w:pPr>
      <w:r>
        <w:rPr>
          <w:rFonts w:hint="default" w:ascii="Times New Roman" w:hAnsi="Times New Roman" w:eastAsia="宋体" w:cs="Times New Roman"/>
          <w:b/>
          <w:bCs/>
          <w:snapToGrid/>
          <w:sz w:val="20"/>
          <w:szCs w:val="20"/>
          <w:lang w:val="en-US" w:eastAsia="zh-CN" w:bidi="ar-SA"/>
        </w:rPr>
        <w:t>Distribution of GenAI Tools in Creative Applications</w:t>
      </w:r>
    </w:p>
    <w:p w14:paraId="00C75C53">
      <w:pPr>
        <w:kinsoku/>
        <w:adjustRightInd/>
        <w:snapToGrid/>
        <w:jc w:val="both"/>
        <w:textAlignment w:val="auto"/>
        <w:outlineLvl w:val="1"/>
        <w:rPr>
          <w:rFonts w:hint="default" w:ascii="Times New Roman" w:hAnsi="Times New Roman" w:eastAsia="宋体" w:cs="Times New Roman"/>
          <w:snapToGrid/>
          <w:color w:val="auto"/>
          <w:sz w:val="20"/>
          <w:szCs w:val="20"/>
          <w:lang w:val="en-US" w:eastAsia="zh-CN" w:bidi="ar-SA"/>
        </w:rPr>
      </w:pPr>
      <w:r>
        <w:rPr>
          <w:rFonts w:hint="default" w:ascii="Times New Roman" w:hAnsi="Times New Roman" w:eastAsia="宋体" w:cs="Times New Roman"/>
          <w:snapToGrid/>
          <w:color w:val="auto"/>
          <w:sz w:val="20"/>
          <w:szCs w:val="20"/>
          <w:lang w:val="en-US" w:eastAsia="zh-CN"/>
        </w:rPr>
        <w:t>Table 1 demonstrated that GenAI applications mostly revolve around visual generation and mixed workflows. Three studies (30%) are dedicated to text-to-image models only, like Midjourney, DALL-E, or Stable Diffusion, whereas seven (35) of them merge the text-to-image with text-based AI (e.g., ChatGPT) to perform creative tasks altogether. Five percent (1) adopt only large language models to do text-based work, and six (30) do not specify tools or leave them to choose freely</w:t>
      </w:r>
      <w:r>
        <w:rPr>
          <w:rFonts w:hint="eastAsia" w:ascii="Times New Roman" w:hAnsi="Times New Roman" w:eastAsia="宋体" w:cs="Times New Roman"/>
          <w:snapToGrid/>
          <w:color w:val="auto"/>
          <w:sz w:val="20"/>
          <w:szCs w:val="20"/>
          <w:lang w:val="en-US" w:eastAsia="zh-CN"/>
        </w:rPr>
        <w:t xml:space="preserve"> </w:t>
      </w:r>
      <w:r>
        <w:rPr>
          <w:rFonts w:hint="default" w:ascii="Times New Roman" w:hAnsi="Times New Roman" w:eastAsia="宋体" w:cs="Times New Roman"/>
          <w:snapToGrid/>
          <w:color w:val="auto"/>
          <w:sz w:val="20"/>
          <w:szCs w:val="20"/>
          <w:lang w:val="en-US" w:eastAsia="zh-CN"/>
        </w:rPr>
        <w:fldChar w:fldCharType="begin"/>
      </w:r>
      <w:r>
        <w:rPr>
          <w:rFonts w:hint="eastAsia" w:ascii="Times New Roman" w:hAnsi="Times New Roman" w:eastAsia="宋体" w:cs="Times New Roman"/>
          <w:snapToGrid/>
          <w:color w:val="auto"/>
          <w:sz w:val="20"/>
          <w:szCs w:val="20"/>
          <w:lang w:val="en-US" w:eastAsia="zh-CN"/>
        </w:rPr>
        <w:instrText xml:space="preserve"> ADDIN ZOTERO_ITEM CSL_CITATION {"citationID":"cJTu6oxp","properties":{"formattedCitation":"&lt;sup&gt;27–29&lt;/sup&gt;","plainCitation":"27–29","noteIndex":0},"citationItems":[{"id":817,"uris":["http://zotero.org/groups/6329368/items/V3BFVTRY"],"itemData":{"id":817,"type":"article-journal","abstract":"Interest in using generative artificial intelligence (GenAI) in design education is growing, yet its impact on students' creative processes and motivation remains underexplored, especially in advertising design. This qualitative exploratory case study examined how GenAI tools influenced 12 undergraduate graphic and multimedia design students during a 72-hour advertising challenge with GenAI at a private Malaysian university. Grounded in sociocultural theory's zone of proximal development and self-determination theory, the study explored how GenAI functioned as an instructional support. Data were collected through three focus group discussions and analysed thematically. Findings suggest that GenAI enhanced ideation, visualisation and collaboration, supporting students' sense of competence and relatedness. However, concerns emerged around creative autonomy and dependence on AI. The study positions GenAI as a conditional more knowledgeable other and highlights the importance of pedagogical strategies that foster critical reflection and ethical use. These insights contribute to the emerging discourse on AI in design education by connecting theory with empirical evidence and offering practical implications for curriculum development.","archive_location":"WOS:001609419600006","container-title":"AUSTRALASIAN JOURNAL OF EDUCATIONAL TECHNOLOGY","ISSN":"1449-3098","issue":"3","language":"English","page":"102-118","title":"72-hour advertising challenge with generative AI in an undergraduate graphic design module: A case study","volume":"41","author":[{"family":"Wong","given":"SC"},{"family":"Tan","given":"HW"},{"family":"Ooi","given":"KH"}],"issued":{"date-parts":[["2025"]]}},"label":"page"},{"id":1250,"uris":["http://zotero.org/groups/6329368/items/Q425HVJJ"],"itemData":{"id":1250,"type":"article-journal","abstract":"This study focuses on Generative Artificial Intelligence (AI) and its transformative impact on design ideation. Generative AI, recognized for its ability to produce a wide array of design alternatives, has become an important tool in design, reshaping traditional methodologies. It facilitates the generation of novel and diverse design forms, acting as a co-creator in the design process. This technology, through machine learning and pattern recognition, analyzes extensive design datasets, enabling the production of innovative solutions. The utilization of generative AI extends beyond replicating AI-provided solutions; it aids in developing and influencing novel concepts, thus fostering original design solutions. This aligns with the concept of ‘reflective practice’ in design, where designers iteratively refine concepts through a dialogue between thought and action. The study employed a quasi-experimental design with 40 design students, randomly assigned to two groups of 20 each. Conducted in two phases, each phase involved a distinct urban furniture design task. In Phase 1, Group A was provided with a text-to-image generating AI tool, while Group B was not. In Phase 2, both groups undertook a similar task without AI assistance. This design exercise allowed for examining the influence of AI on creativity and cognitive load. Design outcomes from both tasks were anonymized and evaluated by experienced professionals using the Creative Product Semantic Scale (CPSS), which measures Novelty, Resolution, and Elaboration and Synthesis. Additionally, the NASA Task Load Index (NASA TLX) questionnaire assessed cognitive load aspects such as mental demand and effort. Findings suggest that generative AI significantly influences the creative design process, enhancing the quality of design outcomes and reducing cognitive load. The AI group demonstrated better performance in both tasks, indicating the impact of AI tools on design skills. This study underscores the potential of AI tools in design education, balancing cognitive load management with creativity enhancement.","container-title":"International Journal of Architectural Computing","DOI":"10.1177/14780771241254637","ISSN":"1478-0771","issue":"1","language":"EN","page":"122-136","publisher":"SAGE Publications","source":"SAGE Journals","title":"Can artificial intelligence support creativity in early design processes?","volume":"23","author":[{"family":"Chandrasekera","given":"Tilanka"},{"family":"Hosseini","given":"Zahrasadat"},{"family":"Perera","given":"Ubhaya"}],"issued":{"date-parts":[["2025",3,1]]}},"label":"page"},{"id":1280,"uris":["http://zotero.org/groups/6329368/items/6SBCECWE"],"itemData":{"id":1280,"type":"article-journal","abstract":"The advent of generative artificial intelligence (AI) has ignited an increase in discussions about generative AI tools in education. In this study, a human-centered learning and teaching framework that uses generative AI tools for self-regulated learning development through domain knowledge learning was proposed to catalyze changes in educational practices. The framework illustrates how generative AI tools can revolutionize educational practices and transform the processes of teaching and learning to become human-centered. It emphasizes the evolving roles of teachers, who increasingly become skillful facilitators and humanistic storytellers who craft differentiated instructions and attempt to develop students’ individualized learning. Drawing upon insights from neuroscience, the framework guides students to employ generative AI tools to augment their attentiveness, stimulate active engagement in learning, receive immediate feedback, and encourage self-reflection. The pedagogical approach is also reimagined; teachers equipped with generative AI tools and AI literacy can refine their teaching strategies to better equip students to meet future challenges. The practical application of the framework is demonstrated in a case study involving the development of Chinese language writing ability among primary students within a K–12 educational context. This article also reports the results of a 60-h development programme for teachers. Specifically, providing in-service teachers with cases involving uses of the proposed framework helped them to better understand the generative AI concepts and integrate them into their teaching and learning and increased their perceived ability to design AI-integrated courses that would enhance students’ attention, engagement, confidence, and satisfaction.","container-title":"IEEE Transactions on Learning Technologies","DOI":"10.1109/TLT.2024.3392830","ISSN":"1939-1382","page":"1562-1573","source":"IEEE Xplore","title":"A Human-Centered Learning and Teaching Framework Using Generative Artificial Intelligence for Self-Regulated Learning Development Through Domain Knowledge Learning in K–12 Settings","volume":"17","author":[{"family":"Kong","given":"Siu-Cheung"},{"family":"Yang","given":"Yin"}],"issued":{"date-parts":[["2024"]]}},"label":"page"}],"schema":"https://github.com/citation-style-language/schema/raw/master/csl-citation.json"} </w:instrText>
      </w:r>
      <w:r>
        <w:rPr>
          <w:rFonts w:hint="default" w:ascii="Times New Roman" w:hAnsi="Times New Roman" w:eastAsia="宋体" w:cs="Times New Roman"/>
          <w:snapToGrid/>
          <w:color w:val="auto"/>
          <w:sz w:val="20"/>
          <w:szCs w:val="20"/>
          <w:lang w:val="en-US" w:eastAsia="zh-CN"/>
        </w:rPr>
        <w:fldChar w:fldCharType="separate"/>
      </w:r>
      <w:r>
        <w:rPr>
          <w:rFonts w:hint="eastAsia" w:ascii="Times New Roman" w:hAnsi="Times New Roman" w:eastAsia="宋体" w:cs="Times New Roman"/>
          <w:snapToGrid/>
          <w:color w:val="auto"/>
          <w:sz w:val="20"/>
          <w:szCs w:val="20"/>
          <w:lang w:val="en-US" w:eastAsia="zh-CN"/>
        </w:rPr>
        <w:t>27–29</w:t>
      </w:r>
      <w:r>
        <w:rPr>
          <w:rFonts w:hint="default" w:ascii="Times New Roman" w:hAnsi="Times New Roman" w:eastAsia="宋体" w:cs="Times New Roman"/>
          <w:snapToGrid/>
          <w:color w:val="auto"/>
          <w:sz w:val="20"/>
          <w:szCs w:val="20"/>
          <w:lang w:val="en-US" w:eastAsia="zh-CN"/>
        </w:rPr>
        <w:fldChar w:fldCharType="end"/>
      </w:r>
      <w:r>
        <w:rPr>
          <w:rFonts w:hint="eastAsia" w:ascii="Times New Roman" w:hAnsi="Times New Roman" w:eastAsia="宋体" w:cs="Times New Roman"/>
          <w:snapToGrid/>
          <w:color w:val="auto"/>
          <w:sz w:val="20"/>
          <w:szCs w:val="20"/>
          <w:lang w:val="en-US" w:eastAsia="zh-CN"/>
        </w:rPr>
        <w:t>, though some report the tools students ultimately selected</w:t>
      </w:r>
      <w:r>
        <w:rPr>
          <w:rFonts w:hint="default" w:ascii="Times New Roman" w:hAnsi="Times New Roman" w:eastAsia="宋体" w:cs="Times New Roman"/>
          <w:snapToGrid/>
          <w:color w:val="auto"/>
          <w:sz w:val="20"/>
          <w:szCs w:val="20"/>
          <w:lang w:val="en-US" w:eastAsia="zh-CN"/>
        </w:rPr>
        <w:t>.</w:t>
      </w:r>
    </w:p>
    <w:tbl>
      <w:tblPr>
        <w:tblStyle w:val="11"/>
        <w:tblW w:w="7230" w:type="dxa"/>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2205"/>
        <w:gridCol w:w="2374"/>
        <w:gridCol w:w="1226"/>
        <w:gridCol w:w="1425"/>
      </w:tblGrid>
      <w:tr w14:paraId="1124EADD">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tblHeader/>
          <w:jc w:val="center"/>
        </w:trPr>
        <w:tc>
          <w:tcPr>
            <w:tcW w:w="2205" w:type="dxa"/>
            <w:shd w:val="clear" w:color="auto" w:fill="BEBEBE" w:themeFill="background1" w:themeFillShade="BF"/>
            <w:noWrap w:val="0"/>
            <w:vAlign w:val="center"/>
          </w:tcPr>
          <w:p w14:paraId="36307B88">
            <w:pPr>
              <w:widowControl w:val="0"/>
              <w:kinsoku/>
              <w:autoSpaceDE w:val="0"/>
              <w:autoSpaceDN w:val="0"/>
              <w:adjustRightInd w:val="0"/>
              <w:snapToGrid w:val="0"/>
              <w:spacing w:line="240" w:lineRule="auto"/>
              <w:ind w:left="0" w:leftChars="0" w:right="0" w:rightChars="0" w:firstLine="0" w:firstLineChars="0"/>
              <w:jc w:val="center"/>
              <w:textAlignment w:val="auto"/>
              <w:rPr>
                <w:rFonts w:ascii="Times New Roman" w:hAnsi="Times New Roman" w:eastAsia="MingLiU" w:cs="Times New Roman"/>
                <w:b/>
                <w:bCs/>
                <w:snapToGrid/>
                <w:color w:val="000000"/>
                <w:kern w:val="0"/>
                <w:sz w:val="18"/>
                <w:szCs w:val="18"/>
                <w:lang w:eastAsia="zh-CN"/>
              </w:rPr>
            </w:pPr>
            <w:r>
              <w:rPr>
                <w:rFonts w:ascii="Times New Roman" w:hAnsi="Times New Roman" w:eastAsia="MingLiU" w:cs="Times New Roman"/>
                <w:b/>
                <w:bCs/>
                <w:snapToGrid/>
                <w:color w:val="000000"/>
                <w:kern w:val="0"/>
                <w:sz w:val="18"/>
                <w:szCs w:val="18"/>
                <w:lang w:eastAsia="zh-CN"/>
              </w:rPr>
              <w:t>Item</w:t>
            </w:r>
          </w:p>
        </w:tc>
        <w:tc>
          <w:tcPr>
            <w:tcW w:w="2374" w:type="dxa"/>
            <w:shd w:val="clear" w:color="auto" w:fill="BEBEBE" w:themeFill="background1" w:themeFillShade="BF"/>
            <w:noWrap w:val="0"/>
            <w:vAlign w:val="center"/>
          </w:tcPr>
          <w:p w14:paraId="7B43CF92">
            <w:pPr>
              <w:widowControl w:val="0"/>
              <w:kinsoku/>
              <w:autoSpaceDE w:val="0"/>
              <w:autoSpaceDN w:val="0"/>
              <w:adjustRightInd w:val="0"/>
              <w:snapToGrid w:val="0"/>
              <w:spacing w:line="240" w:lineRule="auto"/>
              <w:ind w:left="0" w:leftChars="0" w:right="0" w:rightChars="0" w:firstLine="0" w:firstLineChars="0"/>
              <w:jc w:val="center"/>
              <w:textAlignment w:val="auto"/>
              <w:rPr>
                <w:rFonts w:ascii="Times New Roman" w:hAnsi="Times New Roman" w:eastAsia="MingLiU" w:cs="Times New Roman"/>
                <w:b/>
                <w:bCs/>
                <w:snapToGrid/>
                <w:color w:val="000000"/>
                <w:kern w:val="0"/>
                <w:sz w:val="18"/>
                <w:szCs w:val="18"/>
                <w:lang w:eastAsia="zh-CN"/>
              </w:rPr>
            </w:pPr>
            <w:r>
              <w:rPr>
                <w:rFonts w:ascii="Times New Roman" w:hAnsi="Times New Roman" w:eastAsia="MingLiU" w:cs="Times New Roman"/>
                <w:b/>
                <w:bCs/>
                <w:snapToGrid/>
                <w:color w:val="000000"/>
                <w:kern w:val="0"/>
                <w:sz w:val="18"/>
                <w:szCs w:val="18"/>
                <w:lang w:eastAsia="zh-CN"/>
              </w:rPr>
              <w:t>Option</w:t>
            </w:r>
          </w:p>
        </w:tc>
        <w:tc>
          <w:tcPr>
            <w:tcW w:w="1226" w:type="dxa"/>
            <w:shd w:val="clear" w:color="auto" w:fill="BEBEBE" w:themeFill="background1" w:themeFillShade="BF"/>
            <w:noWrap w:val="0"/>
            <w:vAlign w:val="center"/>
          </w:tcPr>
          <w:p w14:paraId="31348BCD">
            <w:pPr>
              <w:widowControl w:val="0"/>
              <w:kinsoku/>
              <w:autoSpaceDE w:val="0"/>
              <w:autoSpaceDN w:val="0"/>
              <w:adjustRightInd w:val="0"/>
              <w:snapToGrid w:val="0"/>
              <w:spacing w:line="240" w:lineRule="auto"/>
              <w:ind w:left="0" w:leftChars="0" w:right="0" w:rightChars="0" w:firstLine="0" w:firstLineChars="0"/>
              <w:jc w:val="center"/>
              <w:textAlignment w:val="auto"/>
              <w:rPr>
                <w:rFonts w:ascii="Times New Roman" w:hAnsi="Times New Roman" w:eastAsia="MingLiU" w:cs="Times New Roman"/>
                <w:b/>
                <w:bCs/>
                <w:snapToGrid/>
                <w:color w:val="000000"/>
                <w:kern w:val="0"/>
                <w:sz w:val="18"/>
                <w:szCs w:val="18"/>
                <w:lang w:eastAsia="zh-CN"/>
              </w:rPr>
            </w:pPr>
            <w:r>
              <w:rPr>
                <w:rFonts w:ascii="Times New Roman" w:hAnsi="Times New Roman" w:eastAsia="MingLiU" w:cs="Times New Roman"/>
                <w:b/>
                <w:bCs/>
                <w:snapToGrid/>
                <w:color w:val="000000"/>
                <w:kern w:val="0"/>
                <w:sz w:val="18"/>
                <w:szCs w:val="18"/>
                <w:lang w:eastAsia="zh-CN"/>
              </w:rPr>
              <w:t>Frequency</w:t>
            </w:r>
          </w:p>
        </w:tc>
        <w:tc>
          <w:tcPr>
            <w:tcW w:w="1425" w:type="dxa"/>
            <w:shd w:val="clear" w:color="auto" w:fill="BEBEBE" w:themeFill="background1" w:themeFillShade="BF"/>
            <w:noWrap w:val="0"/>
            <w:vAlign w:val="center"/>
          </w:tcPr>
          <w:p w14:paraId="58EF120F">
            <w:pPr>
              <w:widowControl w:val="0"/>
              <w:kinsoku/>
              <w:autoSpaceDE w:val="0"/>
              <w:autoSpaceDN w:val="0"/>
              <w:adjustRightInd w:val="0"/>
              <w:snapToGrid w:val="0"/>
              <w:spacing w:line="240" w:lineRule="auto"/>
              <w:ind w:left="0" w:leftChars="0" w:right="0" w:rightChars="0" w:firstLine="0" w:firstLineChars="0"/>
              <w:jc w:val="center"/>
              <w:textAlignment w:val="auto"/>
              <w:rPr>
                <w:rFonts w:ascii="Times New Roman" w:hAnsi="Times New Roman" w:eastAsia="MingLiU" w:cs="Times New Roman"/>
                <w:b/>
                <w:bCs/>
                <w:snapToGrid/>
                <w:color w:val="000000"/>
                <w:kern w:val="0"/>
                <w:sz w:val="18"/>
                <w:szCs w:val="18"/>
                <w:lang w:eastAsia="zh-CN"/>
              </w:rPr>
            </w:pPr>
            <w:r>
              <w:rPr>
                <w:rFonts w:ascii="Times New Roman" w:hAnsi="Times New Roman" w:eastAsia="MingLiU" w:cs="Times New Roman"/>
                <w:b/>
                <w:bCs/>
                <w:snapToGrid/>
                <w:color w:val="000000"/>
                <w:kern w:val="0"/>
                <w:sz w:val="18"/>
                <w:szCs w:val="18"/>
                <w:lang w:eastAsia="zh-CN"/>
              </w:rPr>
              <w:t>Percentage(%)</w:t>
            </w:r>
          </w:p>
        </w:tc>
      </w:tr>
      <w:tr w14:paraId="69173857">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2205" w:type="dxa"/>
            <w:vMerge w:val="restart"/>
            <w:shd w:val="clear" w:color="auto" w:fill="FFFFFF"/>
            <w:noWrap w:val="0"/>
            <w:vAlign w:val="center"/>
          </w:tcPr>
          <w:p w14:paraId="7E907921">
            <w:pPr>
              <w:widowControl w:val="0"/>
              <w:kinsoku/>
              <w:autoSpaceDE w:val="0"/>
              <w:autoSpaceDN w:val="0"/>
              <w:adjustRightInd w:val="0"/>
              <w:snapToGrid w:val="0"/>
              <w:ind w:left="0" w:leftChars="0" w:right="0" w:rightChars="0" w:firstLine="0" w:firstLineChars="0"/>
              <w:jc w:val="left"/>
              <w:textAlignment w:val="auto"/>
              <w:rPr>
                <w:rFonts w:ascii="Times New Roman" w:hAnsi="Times New Roman" w:eastAsia="MingLiU" w:cs="Times New Roman"/>
                <w:bCs/>
                <w:snapToGrid/>
                <w:color w:val="000000"/>
                <w:kern w:val="0"/>
                <w:sz w:val="18"/>
                <w:szCs w:val="18"/>
                <w:lang w:eastAsia="zh-CN"/>
              </w:rPr>
            </w:pPr>
            <w:r>
              <w:rPr>
                <w:rFonts w:hint="eastAsia" w:ascii="Times New Roman" w:hAnsi="Times New Roman" w:eastAsia="MingLiU" w:cs="Times New Roman"/>
                <w:bCs/>
                <w:snapToGrid/>
                <w:color w:val="000000"/>
                <w:kern w:val="0"/>
                <w:sz w:val="18"/>
                <w:szCs w:val="18"/>
                <w:lang w:val="en-US" w:eastAsia="zh-CN"/>
              </w:rPr>
              <w:t>G</w:t>
            </w:r>
            <w:r>
              <w:rPr>
                <w:rFonts w:ascii="Times New Roman" w:hAnsi="Times New Roman" w:eastAsia="MingLiU" w:cs="Times New Roman"/>
                <w:bCs/>
                <w:snapToGrid/>
                <w:color w:val="000000"/>
                <w:kern w:val="0"/>
                <w:sz w:val="18"/>
                <w:szCs w:val="18"/>
                <w:lang w:eastAsia="zh-CN"/>
              </w:rPr>
              <w:t>AI Tool</w:t>
            </w:r>
          </w:p>
        </w:tc>
        <w:tc>
          <w:tcPr>
            <w:tcW w:w="2374" w:type="dxa"/>
            <w:shd w:val="clear" w:color="auto" w:fill="FFFFFF"/>
            <w:noWrap w:val="0"/>
            <w:vAlign w:val="center"/>
          </w:tcPr>
          <w:p w14:paraId="21E333DD">
            <w:pPr>
              <w:widowControl w:val="0"/>
              <w:kinsoku/>
              <w:autoSpaceDE w:val="0"/>
              <w:autoSpaceDN w:val="0"/>
              <w:adjustRightInd w:val="0"/>
              <w:snapToGrid w:val="0"/>
              <w:ind w:left="0" w:leftChars="0" w:right="0" w:rightChars="0" w:firstLine="0" w:firstLineChars="0"/>
              <w:jc w:val="left"/>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LLM Text-based</w:t>
            </w:r>
          </w:p>
        </w:tc>
        <w:tc>
          <w:tcPr>
            <w:tcW w:w="1226" w:type="dxa"/>
            <w:shd w:val="clear" w:color="auto" w:fill="FFFFFF"/>
            <w:noWrap w:val="0"/>
            <w:vAlign w:val="center"/>
          </w:tcPr>
          <w:p w14:paraId="79BA2855">
            <w:pPr>
              <w:widowControl w:val="0"/>
              <w:kinsoku/>
              <w:autoSpaceDE w:val="0"/>
              <w:autoSpaceDN w:val="0"/>
              <w:adjustRightInd w:val="0"/>
              <w:snapToGrid w:val="0"/>
              <w:ind w:left="0" w:leftChars="0" w:right="0" w:rightChars="0" w:firstLine="0" w:firstLineChars="0"/>
              <w:jc w:val="center"/>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1</w:t>
            </w:r>
          </w:p>
        </w:tc>
        <w:tc>
          <w:tcPr>
            <w:tcW w:w="1425" w:type="dxa"/>
            <w:shd w:val="clear" w:color="auto" w:fill="FFFFFF"/>
            <w:noWrap w:val="0"/>
            <w:vAlign w:val="center"/>
          </w:tcPr>
          <w:p w14:paraId="0D9499DA">
            <w:pPr>
              <w:widowControl w:val="0"/>
              <w:kinsoku/>
              <w:autoSpaceDE w:val="0"/>
              <w:autoSpaceDN w:val="0"/>
              <w:adjustRightInd w:val="0"/>
              <w:snapToGrid w:val="0"/>
              <w:ind w:left="0" w:leftChars="0" w:right="0" w:rightChars="0" w:firstLine="0" w:firstLineChars="0"/>
              <w:jc w:val="center"/>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5</w:t>
            </w:r>
          </w:p>
        </w:tc>
      </w:tr>
      <w:tr w14:paraId="2F1CEF9B">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2205" w:type="dxa"/>
            <w:vMerge w:val="continue"/>
            <w:shd w:val="clear" w:color="auto" w:fill="FFFFFF"/>
            <w:noWrap w:val="0"/>
            <w:vAlign w:val="center"/>
          </w:tcPr>
          <w:p w14:paraId="4DC5DCB9">
            <w:pPr>
              <w:widowControl w:val="0"/>
              <w:kinsoku/>
              <w:autoSpaceDE w:val="0"/>
              <w:autoSpaceDN w:val="0"/>
              <w:adjustRightInd w:val="0"/>
              <w:snapToGrid w:val="0"/>
              <w:ind w:left="0" w:leftChars="0" w:right="0" w:rightChars="0" w:firstLine="0" w:firstLineChars="0"/>
              <w:jc w:val="left"/>
              <w:textAlignment w:val="auto"/>
              <w:rPr>
                <w:rFonts w:ascii="Times New Roman" w:hAnsi="Times New Roman" w:eastAsia="MingLiU" w:cs="Times New Roman"/>
                <w:bCs/>
                <w:snapToGrid/>
                <w:color w:val="000000"/>
                <w:kern w:val="0"/>
                <w:sz w:val="18"/>
                <w:szCs w:val="18"/>
                <w:lang w:eastAsia="zh-CN"/>
              </w:rPr>
            </w:pPr>
          </w:p>
        </w:tc>
        <w:tc>
          <w:tcPr>
            <w:tcW w:w="2374" w:type="dxa"/>
            <w:shd w:val="clear" w:color="auto" w:fill="FFFFFF"/>
            <w:noWrap w:val="0"/>
            <w:vAlign w:val="center"/>
          </w:tcPr>
          <w:p w14:paraId="06DD9F87">
            <w:pPr>
              <w:widowControl w:val="0"/>
              <w:kinsoku/>
              <w:autoSpaceDE w:val="0"/>
              <w:autoSpaceDN w:val="0"/>
              <w:adjustRightInd w:val="0"/>
              <w:snapToGrid w:val="0"/>
              <w:ind w:left="0" w:leftChars="0" w:right="0" w:rightChars="0" w:firstLine="0" w:firstLineChars="0"/>
              <w:jc w:val="left"/>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Visual Generation-based</w:t>
            </w:r>
          </w:p>
        </w:tc>
        <w:tc>
          <w:tcPr>
            <w:tcW w:w="1226" w:type="dxa"/>
            <w:shd w:val="clear" w:color="auto" w:fill="FFFFFF"/>
            <w:noWrap w:val="0"/>
            <w:vAlign w:val="center"/>
          </w:tcPr>
          <w:p w14:paraId="4C0BF78F">
            <w:pPr>
              <w:widowControl w:val="0"/>
              <w:kinsoku/>
              <w:autoSpaceDE w:val="0"/>
              <w:autoSpaceDN w:val="0"/>
              <w:adjustRightInd w:val="0"/>
              <w:snapToGrid w:val="0"/>
              <w:ind w:left="0" w:leftChars="0" w:right="0" w:rightChars="0" w:firstLine="0" w:firstLineChars="0"/>
              <w:jc w:val="center"/>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6</w:t>
            </w:r>
          </w:p>
        </w:tc>
        <w:tc>
          <w:tcPr>
            <w:tcW w:w="1425" w:type="dxa"/>
            <w:shd w:val="clear" w:color="auto" w:fill="FFFFFF"/>
            <w:noWrap w:val="0"/>
            <w:vAlign w:val="center"/>
          </w:tcPr>
          <w:p w14:paraId="25EFE5A6">
            <w:pPr>
              <w:widowControl w:val="0"/>
              <w:kinsoku/>
              <w:autoSpaceDE w:val="0"/>
              <w:autoSpaceDN w:val="0"/>
              <w:adjustRightInd w:val="0"/>
              <w:snapToGrid w:val="0"/>
              <w:ind w:left="0" w:leftChars="0" w:right="0" w:rightChars="0" w:firstLine="0" w:firstLineChars="0"/>
              <w:jc w:val="center"/>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30</w:t>
            </w:r>
          </w:p>
        </w:tc>
      </w:tr>
      <w:tr w14:paraId="6FF51804">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2205" w:type="dxa"/>
            <w:vMerge w:val="continue"/>
            <w:shd w:val="clear" w:color="auto" w:fill="FFFFFF"/>
            <w:noWrap w:val="0"/>
            <w:vAlign w:val="center"/>
          </w:tcPr>
          <w:p w14:paraId="0213E00B">
            <w:pPr>
              <w:widowControl w:val="0"/>
              <w:kinsoku/>
              <w:autoSpaceDE w:val="0"/>
              <w:autoSpaceDN w:val="0"/>
              <w:adjustRightInd w:val="0"/>
              <w:snapToGrid w:val="0"/>
              <w:ind w:left="0" w:leftChars="0" w:right="0" w:rightChars="0" w:firstLine="0" w:firstLineChars="0"/>
              <w:jc w:val="left"/>
              <w:textAlignment w:val="auto"/>
              <w:rPr>
                <w:rFonts w:ascii="Times New Roman" w:hAnsi="Times New Roman" w:eastAsia="MingLiU" w:cs="Times New Roman"/>
                <w:bCs/>
                <w:snapToGrid/>
                <w:color w:val="000000"/>
                <w:kern w:val="0"/>
                <w:sz w:val="18"/>
                <w:szCs w:val="18"/>
                <w:lang w:eastAsia="zh-CN"/>
              </w:rPr>
            </w:pPr>
          </w:p>
        </w:tc>
        <w:tc>
          <w:tcPr>
            <w:tcW w:w="2374" w:type="dxa"/>
            <w:shd w:val="clear" w:color="auto" w:fill="FFFFFF"/>
            <w:noWrap w:val="0"/>
            <w:vAlign w:val="center"/>
          </w:tcPr>
          <w:p w14:paraId="2E41A649">
            <w:pPr>
              <w:widowControl w:val="0"/>
              <w:kinsoku/>
              <w:autoSpaceDE w:val="0"/>
              <w:autoSpaceDN w:val="0"/>
              <w:adjustRightInd w:val="0"/>
              <w:snapToGrid w:val="0"/>
              <w:ind w:left="0" w:leftChars="0" w:right="0" w:rightChars="0" w:firstLine="0" w:firstLineChars="0"/>
              <w:jc w:val="left"/>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Mixed</w:t>
            </w:r>
          </w:p>
        </w:tc>
        <w:tc>
          <w:tcPr>
            <w:tcW w:w="1226" w:type="dxa"/>
            <w:shd w:val="clear" w:color="auto" w:fill="FFFFFF"/>
            <w:noWrap w:val="0"/>
            <w:vAlign w:val="center"/>
          </w:tcPr>
          <w:p w14:paraId="03330FBB">
            <w:pPr>
              <w:widowControl w:val="0"/>
              <w:kinsoku/>
              <w:autoSpaceDE w:val="0"/>
              <w:autoSpaceDN w:val="0"/>
              <w:adjustRightInd w:val="0"/>
              <w:snapToGrid w:val="0"/>
              <w:ind w:left="0" w:leftChars="0" w:right="0" w:rightChars="0" w:firstLine="0" w:firstLineChars="0"/>
              <w:jc w:val="center"/>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7</w:t>
            </w:r>
          </w:p>
        </w:tc>
        <w:tc>
          <w:tcPr>
            <w:tcW w:w="1425" w:type="dxa"/>
            <w:shd w:val="clear" w:color="auto" w:fill="FFFFFF"/>
            <w:noWrap w:val="0"/>
            <w:vAlign w:val="center"/>
          </w:tcPr>
          <w:p w14:paraId="448A52F1">
            <w:pPr>
              <w:widowControl w:val="0"/>
              <w:kinsoku/>
              <w:autoSpaceDE w:val="0"/>
              <w:autoSpaceDN w:val="0"/>
              <w:adjustRightInd w:val="0"/>
              <w:snapToGrid w:val="0"/>
              <w:ind w:left="0" w:leftChars="0" w:right="0" w:rightChars="0" w:firstLine="0" w:firstLineChars="0"/>
              <w:jc w:val="center"/>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35</w:t>
            </w:r>
          </w:p>
        </w:tc>
      </w:tr>
      <w:tr w14:paraId="4EC20476">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2205" w:type="dxa"/>
            <w:vMerge w:val="continue"/>
            <w:shd w:val="clear" w:color="auto" w:fill="FFFFFF"/>
            <w:noWrap w:val="0"/>
            <w:vAlign w:val="center"/>
          </w:tcPr>
          <w:p w14:paraId="2098CB6C">
            <w:pPr>
              <w:widowControl w:val="0"/>
              <w:kinsoku/>
              <w:autoSpaceDE w:val="0"/>
              <w:autoSpaceDN w:val="0"/>
              <w:adjustRightInd w:val="0"/>
              <w:snapToGrid w:val="0"/>
              <w:ind w:left="0" w:leftChars="0" w:right="0" w:rightChars="0" w:firstLine="0" w:firstLineChars="0"/>
              <w:jc w:val="left"/>
              <w:textAlignment w:val="auto"/>
              <w:rPr>
                <w:rFonts w:ascii="Times New Roman" w:hAnsi="Times New Roman" w:eastAsia="MingLiU" w:cs="Times New Roman"/>
                <w:bCs/>
                <w:snapToGrid/>
                <w:color w:val="000000"/>
                <w:kern w:val="0"/>
                <w:sz w:val="18"/>
                <w:szCs w:val="18"/>
                <w:lang w:eastAsia="zh-CN"/>
              </w:rPr>
            </w:pPr>
          </w:p>
        </w:tc>
        <w:tc>
          <w:tcPr>
            <w:tcW w:w="2374" w:type="dxa"/>
            <w:shd w:val="clear" w:color="auto" w:fill="FFFFFF"/>
            <w:noWrap w:val="0"/>
            <w:vAlign w:val="center"/>
          </w:tcPr>
          <w:p w14:paraId="797944E7">
            <w:pPr>
              <w:widowControl w:val="0"/>
              <w:kinsoku/>
              <w:autoSpaceDE w:val="0"/>
              <w:autoSpaceDN w:val="0"/>
              <w:adjustRightInd w:val="0"/>
              <w:snapToGrid w:val="0"/>
              <w:ind w:left="0" w:leftChars="0" w:right="0" w:rightChars="0" w:firstLine="0" w:firstLineChars="0"/>
              <w:jc w:val="left"/>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Unclear</w:t>
            </w:r>
          </w:p>
        </w:tc>
        <w:tc>
          <w:tcPr>
            <w:tcW w:w="1226" w:type="dxa"/>
            <w:shd w:val="clear" w:color="auto" w:fill="FFFFFF"/>
            <w:noWrap w:val="0"/>
            <w:vAlign w:val="center"/>
          </w:tcPr>
          <w:p w14:paraId="101020BF">
            <w:pPr>
              <w:widowControl w:val="0"/>
              <w:kinsoku/>
              <w:autoSpaceDE w:val="0"/>
              <w:autoSpaceDN w:val="0"/>
              <w:adjustRightInd w:val="0"/>
              <w:snapToGrid w:val="0"/>
              <w:ind w:left="0" w:leftChars="0" w:right="0" w:rightChars="0" w:firstLine="0" w:firstLineChars="0"/>
              <w:jc w:val="center"/>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6</w:t>
            </w:r>
          </w:p>
        </w:tc>
        <w:tc>
          <w:tcPr>
            <w:tcW w:w="1425" w:type="dxa"/>
            <w:shd w:val="clear" w:color="auto" w:fill="FFFFFF"/>
            <w:noWrap w:val="0"/>
            <w:vAlign w:val="center"/>
          </w:tcPr>
          <w:p w14:paraId="69902B60">
            <w:pPr>
              <w:widowControl w:val="0"/>
              <w:kinsoku/>
              <w:autoSpaceDE w:val="0"/>
              <w:autoSpaceDN w:val="0"/>
              <w:adjustRightInd w:val="0"/>
              <w:snapToGrid w:val="0"/>
              <w:ind w:left="0" w:leftChars="0" w:right="0" w:rightChars="0" w:firstLine="0" w:firstLineChars="0"/>
              <w:jc w:val="center"/>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30</w:t>
            </w:r>
          </w:p>
        </w:tc>
      </w:tr>
      <w:tr w14:paraId="011C59CE">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2205" w:type="dxa"/>
            <w:vMerge w:val="restart"/>
            <w:shd w:val="clear" w:color="auto" w:fill="FFFFFF"/>
            <w:noWrap w:val="0"/>
            <w:vAlign w:val="center"/>
          </w:tcPr>
          <w:p w14:paraId="012277B8">
            <w:pPr>
              <w:widowControl w:val="0"/>
              <w:kinsoku/>
              <w:autoSpaceDE w:val="0"/>
              <w:autoSpaceDN w:val="0"/>
              <w:adjustRightInd w:val="0"/>
              <w:snapToGrid w:val="0"/>
              <w:ind w:left="0" w:leftChars="0" w:right="0" w:rightChars="0" w:firstLine="0" w:firstLineChars="0"/>
              <w:jc w:val="left"/>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Exposure Main</w:t>
            </w:r>
          </w:p>
        </w:tc>
        <w:tc>
          <w:tcPr>
            <w:tcW w:w="2374" w:type="dxa"/>
            <w:shd w:val="clear" w:color="auto" w:fill="FFFFFF"/>
            <w:noWrap w:val="0"/>
            <w:vAlign w:val="center"/>
          </w:tcPr>
          <w:p w14:paraId="0DA926AE">
            <w:pPr>
              <w:widowControl w:val="0"/>
              <w:kinsoku/>
              <w:autoSpaceDE w:val="0"/>
              <w:autoSpaceDN w:val="0"/>
              <w:adjustRightInd w:val="0"/>
              <w:snapToGrid w:val="0"/>
              <w:ind w:left="0" w:leftChars="0" w:right="0" w:rightChars="0" w:firstLine="0" w:firstLineChars="0"/>
              <w:jc w:val="left"/>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workshop</w:t>
            </w:r>
          </w:p>
        </w:tc>
        <w:tc>
          <w:tcPr>
            <w:tcW w:w="1226" w:type="dxa"/>
            <w:shd w:val="clear" w:color="auto" w:fill="FFFFFF"/>
            <w:noWrap w:val="0"/>
            <w:vAlign w:val="center"/>
          </w:tcPr>
          <w:p w14:paraId="4C5D8762">
            <w:pPr>
              <w:widowControl w:val="0"/>
              <w:kinsoku/>
              <w:autoSpaceDE w:val="0"/>
              <w:autoSpaceDN w:val="0"/>
              <w:adjustRightInd w:val="0"/>
              <w:snapToGrid w:val="0"/>
              <w:ind w:left="0" w:leftChars="0" w:right="0" w:rightChars="0" w:firstLine="0" w:firstLineChars="0"/>
              <w:jc w:val="center"/>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5</w:t>
            </w:r>
          </w:p>
        </w:tc>
        <w:tc>
          <w:tcPr>
            <w:tcW w:w="1425" w:type="dxa"/>
            <w:shd w:val="clear" w:color="auto" w:fill="FFFFFF"/>
            <w:noWrap w:val="0"/>
            <w:vAlign w:val="center"/>
          </w:tcPr>
          <w:p w14:paraId="3CC788AE">
            <w:pPr>
              <w:widowControl w:val="0"/>
              <w:kinsoku/>
              <w:autoSpaceDE w:val="0"/>
              <w:autoSpaceDN w:val="0"/>
              <w:adjustRightInd w:val="0"/>
              <w:snapToGrid w:val="0"/>
              <w:ind w:left="0" w:leftChars="0" w:right="0" w:rightChars="0" w:firstLine="0" w:firstLineChars="0"/>
              <w:jc w:val="center"/>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25</w:t>
            </w:r>
          </w:p>
        </w:tc>
      </w:tr>
      <w:tr w14:paraId="10FC06E6">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2205" w:type="dxa"/>
            <w:vMerge w:val="continue"/>
            <w:shd w:val="clear" w:color="auto" w:fill="FFFFFF"/>
            <w:noWrap w:val="0"/>
            <w:vAlign w:val="center"/>
          </w:tcPr>
          <w:p w14:paraId="1E69833C">
            <w:pPr>
              <w:widowControl w:val="0"/>
              <w:kinsoku/>
              <w:autoSpaceDE w:val="0"/>
              <w:autoSpaceDN w:val="0"/>
              <w:adjustRightInd w:val="0"/>
              <w:snapToGrid w:val="0"/>
              <w:ind w:left="0" w:leftChars="0" w:right="0" w:rightChars="0" w:firstLine="0" w:firstLineChars="0"/>
              <w:jc w:val="left"/>
              <w:textAlignment w:val="auto"/>
              <w:rPr>
                <w:rFonts w:ascii="Times New Roman" w:hAnsi="Times New Roman" w:eastAsia="MingLiU" w:cs="Times New Roman"/>
                <w:bCs/>
                <w:snapToGrid/>
                <w:color w:val="000000"/>
                <w:kern w:val="0"/>
                <w:sz w:val="18"/>
                <w:szCs w:val="18"/>
                <w:lang w:eastAsia="zh-CN"/>
              </w:rPr>
            </w:pPr>
          </w:p>
        </w:tc>
        <w:tc>
          <w:tcPr>
            <w:tcW w:w="2374" w:type="dxa"/>
            <w:shd w:val="clear" w:color="auto" w:fill="FFFFFF"/>
            <w:noWrap w:val="0"/>
            <w:vAlign w:val="center"/>
          </w:tcPr>
          <w:p w14:paraId="093D77C9">
            <w:pPr>
              <w:widowControl w:val="0"/>
              <w:kinsoku/>
              <w:autoSpaceDE w:val="0"/>
              <w:autoSpaceDN w:val="0"/>
              <w:adjustRightInd w:val="0"/>
              <w:snapToGrid w:val="0"/>
              <w:ind w:left="0" w:leftChars="0" w:right="0" w:rightChars="0" w:firstLine="0" w:firstLineChars="0"/>
              <w:jc w:val="left"/>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Studio</w:t>
            </w:r>
          </w:p>
        </w:tc>
        <w:tc>
          <w:tcPr>
            <w:tcW w:w="1226" w:type="dxa"/>
            <w:shd w:val="clear" w:color="auto" w:fill="FFFFFF"/>
            <w:noWrap w:val="0"/>
            <w:vAlign w:val="center"/>
          </w:tcPr>
          <w:p w14:paraId="2D359DFA">
            <w:pPr>
              <w:widowControl w:val="0"/>
              <w:kinsoku/>
              <w:autoSpaceDE w:val="0"/>
              <w:autoSpaceDN w:val="0"/>
              <w:adjustRightInd w:val="0"/>
              <w:snapToGrid w:val="0"/>
              <w:ind w:left="0" w:leftChars="0" w:right="0" w:rightChars="0" w:firstLine="0" w:firstLineChars="0"/>
              <w:jc w:val="center"/>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6</w:t>
            </w:r>
          </w:p>
        </w:tc>
        <w:tc>
          <w:tcPr>
            <w:tcW w:w="1425" w:type="dxa"/>
            <w:shd w:val="clear" w:color="auto" w:fill="FFFFFF"/>
            <w:noWrap w:val="0"/>
            <w:vAlign w:val="center"/>
          </w:tcPr>
          <w:p w14:paraId="5A16B177">
            <w:pPr>
              <w:widowControl w:val="0"/>
              <w:kinsoku/>
              <w:autoSpaceDE w:val="0"/>
              <w:autoSpaceDN w:val="0"/>
              <w:adjustRightInd w:val="0"/>
              <w:snapToGrid w:val="0"/>
              <w:ind w:left="0" w:leftChars="0" w:right="0" w:rightChars="0" w:firstLine="0" w:firstLineChars="0"/>
              <w:jc w:val="center"/>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30</w:t>
            </w:r>
          </w:p>
        </w:tc>
      </w:tr>
      <w:tr w14:paraId="3151BBB5">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2205" w:type="dxa"/>
            <w:vMerge w:val="continue"/>
            <w:shd w:val="clear" w:color="auto" w:fill="FFFFFF"/>
            <w:noWrap w:val="0"/>
            <w:vAlign w:val="center"/>
          </w:tcPr>
          <w:p w14:paraId="79BC6BBD">
            <w:pPr>
              <w:widowControl w:val="0"/>
              <w:kinsoku/>
              <w:autoSpaceDE w:val="0"/>
              <w:autoSpaceDN w:val="0"/>
              <w:adjustRightInd w:val="0"/>
              <w:snapToGrid w:val="0"/>
              <w:ind w:left="0" w:leftChars="0" w:right="0" w:rightChars="0" w:firstLine="0" w:firstLineChars="0"/>
              <w:jc w:val="left"/>
              <w:textAlignment w:val="auto"/>
              <w:rPr>
                <w:rFonts w:ascii="Times New Roman" w:hAnsi="Times New Roman" w:eastAsia="MingLiU" w:cs="Times New Roman"/>
                <w:bCs/>
                <w:snapToGrid/>
                <w:color w:val="000000"/>
                <w:kern w:val="0"/>
                <w:sz w:val="18"/>
                <w:szCs w:val="18"/>
                <w:lang w:eastAsia="zh-CN"/>
              </w:rPr>
            </w:pPr>
          </w:p>
        </w:tc>
        <w:tc>
          <w:tcPr>
            <w:tcW w:w="2374" w:type="dxa"/>
            <w:shd w:val="clear" w:color="auto" w:fill="FFFFFF"/>
            <w:noWrap w:val="0"/>
            <w:vAlign w:val="center"/>
          </w:tcPr>
          <w:p w14:paraId="24BF9028">
            <w:pPr>
              <w:widowControl w:val="0"/>
              <w:kinsoku/>
              <w:autoSpaceDE w:val="0"/>
              <w:autoSpaceDN w:val="0"/>
              <w:adjustRightInd w:val="0"/>
              <w:snapToGrid w:val="0"/>
              <w:ind w:left="0" w:leftChars="0" w:right="0" w:rightChars="0" w:firstLine="0" w:firstLineChars="0"/>
              <w:jc w:val="left"/>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Challenge/Hackathon</w:t>
            </w:r>
          </w:p>
        </w:tc>
        <w:tc>
          <w:tcPr>
            <w:tcW w:w="1226" w:type="dxa"/>
            <w:shd w:val="clear" w:color="auto" w:fill="FFFFFF"/>
            <w:noWrap w:val="0"/>
            <w:vAlign w:val="center"/>
          </w:tcPr>
          <w:p w14:paraId="1BA7A112">
            <w:pPr>
              <w:widowControl w:val="0"/>
              <w:kinsoku/>
              <w:autoSpaceDE w:val="0"/>
              <w:autoSpaceDN w:val="0"/>
              <w:adjustRightInd w:val="0"/>
              <w:snapToGrid w:val="0"/>
              <w:ind w:left="0" w:leftChars="0" w:right="0" w:rightChars="0" w:firstLine="0" w:firstLineChars="0"/>
              <w:jc w:val="center"/>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1</w:t>
            </w:r>
          </w:p>
        </w:tc>
        <w:tc>
          <w:tcPr>
            <w:tcW w:w="1425" w:type="dxa"/>
            <w:shd w:val="clear" w:color="auto" w:fill="FFFFFF"/>
            <w:noWrap w:val="0"/>
            <w:vAlign w:val="center"/>
          </w:tcPr>
          <w:p w14:paraId="23D826DF">
            <w:pPr>
              <w:widowControl w:val="0"/>
              <w:kinsoku/>
              <w:autoSpaceDE w:val="0"/>
              <w:autoSpaceDN w:val="0"/>
              <w:adjustRightInd w:val="0"/>
              <w:snapToGrid w:val="0"/>
              <w:ind w:left="0" w:leftChars="0" w:right="0" w:rightChars="0" w:firstLine="0" w:firstLineChars="0"/>
              <w:jc w:val="center"/>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5</w:t>
            </w:r>
          </w:p>
        </w:tc>
      </w:tr>
      <w:tr w14:paraId="6FFC0EA6">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2205" w:type="dxa"/>
            <w:vMerge w:val="continue"/>
            <w:shd w:val="clear" w:color="auto" w:fill="FFFFFF"/>
            <w:noWrap w:val="0"/>
            <w:vAlign w:val="center"/>
          </w:tcPr>
          <w:p w14:paraId="2B6F33EB">
            <w:pPr>
              <w:widowControl w:val="0"/>
              <w:kinsoku/>
              <w:autoSpaceDE w:val="0"/>
              <w:autoSpaceDN w:val="0"/>
              <w:adjustRightInd w:val="0"/>
              <w:snapToGrid w:val="0"/>
              <w:ind w:left="0" w:leftChars="0" w:right="0" w:rightChars="0" w:firstLine="0" w:firstLineChars="0"/>
              <w:jc w:val="left"/>
              <w:textAlignment w:val="auto"/>
              <w:rPr>
                <w:rFonts w:ascii="Times New Roman" w:hAnsi="Times New Roman" w:eastAsia="MingLiU" w:cs="Times New Roman"/>
                <w:bCs/>
                <w:snapToGrid/>
                <w:color w:val="000000"/>
                <w:kern w:val="0"/>
                <w:sz w:val="18"/>
                <w:szCs w:val="18"/>
                <w:lang w:eastAsia="zh-CN"/>
              </w:rPr>
            </w:pPr>
          </w:p>
        </w:tc>
        <w:tc>
          <w:tcPr>
            <w:tcW w:w="2374" w:type="dxa"/>
            <w:shd w:val="clear" w:color="auto" w:fill="FFFFFF"/>
            <w:noWrap w:val="0"/>
            <w:vAlign w:val="center"/>
          </w:tcPr>
          <w:p w14:paraId="247AB5F2">
            <w:pPr>
              <w:widowControl w:val="0"/>
              <w:kinsoku/>
              <w:autoSpaceDE w:val="0"/>
              <w:autoSpaceDN w:val="0"/>
              <w:adjustRightInd w:val="0"/>
              <w:snapToGrid w:val="0"/>
              <w:ind w:left="0" w:leftChars="0" w:right="0" w:rightChars="0" w:firstLine="0" w:firstLineChars="0"/>
              <w:jc w:val="left"/>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Controlled task</w:t>
            </w:r>
          </w:p>
        </w:tc>
        <w:tc>
          <w:tcPr>
            <w:tcW w:w="1226" w:type="dxa"/>
            <w:shd w:val="clear" w:color="auto" w:fill="FFFFFF"/>
            <w:noWrap w:val="0"/>
            <w:vAlign w:val="center"/>
          </w:tcPr>
          <w:p w14:paraId="34DF1BB8">
            <w:pPr>
              <w:widowControl w:val="0"/>
              <w:kinsoku/>
              <w:autoSpaceDE w:val="0"/>
              <w:autoSpaceDN w:val="0"/>
              <w:adjustRightInd w:val="0"/>
              <w:snapToGrid w:val="0"/>
              <w:ind w:left="0" w:leftChars="0" w:right="0" w:rightChars="0" w:firstLine="0" w:firstLineChars="0"/>
              <w:jc w:val="center"/>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3</w:t>
            </w:r>
          </w:p>
        </w:tc>
        <w:tc>
          <w:tcPr>
            <w:tcW w:w="1425" w:type="dxa"/>
            <w:shd w:val="clear" w:color="auto" w:fill="FFFFFF"/>
            <w:noWrap w:val="0"/>
            <w:vAlign w:val="center"/>
          </w:tcPr>
          <w:p w14:paraId="364753CA">
            <w:pPr>
              <w:widowControl w:val="0"/>
              <w:kinsoku/>
              <w:autoSpaceDE w:val="0"/>
              <w:autoSpaceDN w:val="0"/>
              <w:adjustRightInd w:val="0"/>
              <w:snapToGrid w:val="0"/>
              <w:ind w:left="0" w:leftChars="0" w:right="0" w:rightChars="0" w:firstLine="0" w:firstLineChars="0"/>
              <w:jc w:val="center"/>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15</w:t>
            </w:r>
          </w:p>
        </w:tc>
      </w:tr>
      <w:tr w14:paraId="48AA3B60">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2205" w:type="dxa"/>
            <w:vMerge w:val="continue"/>
            <w:shd w:val="clear" w:color="auto" w:fill="FFFFFF"/>
            <w:noWrap w:val="0"/>
            <w:vAlign w:val="center"/>
          </w:tcPr>
          <w:p w14:paraId="52C9EFC4">
            <w:pPr>
              <w:widowControl w:val="0"/>
              <w:kinsoku/>
              <w:autoSpaceDE w:val="0"/>
              <w:autoSpaceDN w:val="0"/>
              <w:adjustRightInd w:val="0"/>
              <w:snapToGrid w:val="0"/>
              <w:ind w:left="0" w:leftChars="0" w:right="0" w:rightChars="0" w:firstLine="0" w:firstLineChars="0"/>
              <w:jc w:val="left"/>
              <w:textAlignment w:val="auto"/>
              <w:rPr>
                <w:rFonts w:ascii="Times New Roman" w:hAnsi="Times New Roman" w:eastAsia="MingLiU" w:cs="Times New Roman"/>
                <w:bCs/>
                <w:snapToGrid/>
                <w:color w:val="000000"/>
                <w:kern w:val="0"/>
                <w:sz w:val="18"/>
                <w:szCs w:val="18"/>
                <w:lang w:eastAsia="zh-CN"/>
              </w:rPr>
            </w:pPr>
          </w:p>
        </w:tc>
        <w:tc>
          <w:tcPr>
            <w:tcW w:w="2374" w:type="dxa"/>
            <w:shd w:val="clear" w:color="auto" w:fill="FFFFFF"/>
            <w:noWrap w:val="0"/>
            <w:vAlign w:val="center"/>
          </w:tcPr>
          <w:p w14:paraId="5A032FFA">
            <w:pPr>
              <w:widowControl w:val="0"/>
              <w:kinsoku/>
              <w:autoSpaceDE w:val="0"/>
              <w:autoSpaceDN w:val="0"/>
              <w:adjustRightInd w:val="0"/>
              <w:snapToGrid w:val="0"/>
              <w:ind w:left="0" w:leftChars="0" w:right="0" w:rightChars="0" w:firstLine="0" w:firstLineChars="0"/>
              <w:jc w:val="left"/>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Survey-only</w:t>
            </w:r>
          </w:p>
        </w:tc>
        <w:tc>
          <w:tcPr>
            <w:tcW w:w="1226" w:type="dxa"/>
            <w:shd w:val="clear" w:color="auto" w:fill="FFFFFF"/>
            <w:noWrap w:val="0"/>
            <w:vAlign w:val="center"/>
          </w:tcPr>
          <w:p w14:paraId="38E03732">
            <w:pPr>
              <w:widowControl w:val="0"/>
              <w:kinsoku/>
              <w:autoSpaceDE w:val="0"/>
              <w:autoSpaceDN w:val="0"/>
              <w:adjustRightInd w:val="0"/>
              <w:snapToGrid w:val="0"/>
              <w:ind w:left="0" w:leftChars="0" w:right="0" w:rightChars="0" w:firstLine="0" w:firstLineChars="0"/>
              <w:jc w:val="center"/>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2</w:t>
            </w:r>
          </w:p>
        </w:tc>
        <w:tc>
          <w:tcPr>
            <w:tcW w:w="1425" w:type="dxa"/>
            <w:shd w:val="clear" w:color="auto" w:fill="FFFFFF"/>
            <w:noWrap w:val="0"/>
            <w:vAlign w:val="center"/>
          </w:tcPr>
          <w:p w14:paraId="5775368D">
            <w:pPr>
              <w:widowControl w:val="0"/>
              <w:kinsoku/>
              <w:autoSpaceDE w:val="0"/>
              <w:autoSpaceDN w:val="0"/>
              <w:adjustRightInd w:val="0"/>
              <w:snapToGrid w:val="0"/>
              <w:ind w:left="0" w:leftChars="0" w:right="0" w:rightChars="0" w:firstLine="0" w:firstLineChars="0"/>
              <w:jc w:val="center"/>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10</w:t>
            </w:r>
          </w:p>
        </w:tc>
      </w:tr>
      <w:tr w14:paraId="568017E4">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2205" w:type="dxa"/>
            <w:vMerge w:val="continue"/>
            <w:shd w:val="clear" w:color="auto" w:fill="FFFFFF"/>
            <w:noWrap w:val="0"/>
            <w:vAlign w:val="center"/>
          </w:tcPr>
          <w:p w14:paraId="496F1297">
            <w:pPr>
              <w:widowControl w:val="0"/>
              <w:kinsoku/>
              <w:autoSpaceDE w:val="0"/>
              <w:autoSpaceDN w:val="0"/>
              <w:adjustRightInd w:val="0"/>
              <w:snapToGrid w:val="0"/>
              <w:ind w:left="0" w:leftChars="0" w:right="0" w:rightChars="0" w:firstLine="0" w:firstLineChars="0"/>
              <w:jc w:val="left"/>
              <w:textAlignment w:val="auto"/>
              <w:rPr>
                <w:rFonts w:ascii="Times New Roman" w:hAnsi="Times New Roman" w:eastAsia="MingLiU" w:cs="Times New Roman"/>
                <w:bCs/>
                <w:snapToGrid/>
                <w:color w:val="000000"/>
                <w:kern w:val="0"/>
                <w:sz w:val="18"/>
                <w:szCs w:val="18"/>
                <w:lang w:eastAsia="zh-CN"/>
              </w:rPr>
            </w:pPr>
          </w:p>
        </w:tc>
        <w:tc>
          <w:tcPr>
            <w:tcW w:w="2374" w:type="dxa"/>
            <w:shd w:val="clear" w:color="auto" w:fill="FFFFFF"/>
            <w:noWrap w:val="0"/>
            <w:vAlign w:val="center"/>
          </w:tcPr>
          <w:p w14:paraId="7D050B60">
            <w:pPr>
              <w:widowControl w:val="0"/>
              <w:kinsoku/>
              <w:autoSpaceDE w:val="0"/>
              <w:autoSpaceDN w:val="0"/>
              <w:adjustRightInd w:val="0"/>
              <w:snapToGrid w:val="0"/>
              <w:ind w:left="0" w:leftChars="0" w:right="0" w:rightChars="0" w:firstLine="0" w:firstLineChars="0"/>
              <w:jc w:val="left"/>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Naturalistic use</w:t>
            </w:r>
          </w:p>
        </w:tc>
        <w:tc>
          <w:tcPr>
            <w:tcW w:w="1226" w:type="dxa"/>
            <w:shd w:val="clear" w:color="auto" w:fill="FFFFFF"/>
            <w:noWrap w:val="0"/>
            <w:vAlign w:val="center"/>
          </w:tcPr>
          <w:p w14:paraId="73896B09">
            <w:pPr>
              <w:widowControl w:val="0"/>
              <w:kinsoku/>
              <w:autoSpaceDE w:val="0"/>
              <w:autoSpaceDN w:val="0"/>
              <w:adjustRightInd w:val="0"/>
              <w:snapToGrid w:val="0"/>
              <w:ind w:left="0" w:leftChars="0" w:right="0" w:rightChars="0" w:firstLine="0" w:firstLineChars="0"/>
              <w:jc w:val="center"/>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3</w:t>
            </w:r>
          </w:p>
        </w:tc>
        <w:tc>
          <w:tcPr>
            <w:tcW w:w="1425" w:type="dxa"/>
            <w:shd w:val="clear" w:color="auto" w:fill="FFFFFF"/>
            <w:noWrap w:val="0"/>
            <w:vAlign w:val="center"/>
          </w:tcPr>
          <w:p w14:paraId="5E18F81E">
            <w:pPr>
              <w:widowControl w:val="0"/>
              <w:kinsoku/>
              <w:autoSpaceDE w:val="0"/>
              <w:autoSpaceDN w:val="0"/>
              <w:adjustRightInd w:val="0"/>
              <w:snapToGrid w:val="0"/>
              <w:ind w:left="0" w:leftChars="0" w:right="0" w:rightChars="0" w:firstLine="0" w:firstLineChars="0"/>
              <w:jc w:val="center"/>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15</w:t>
            </w:r>
          </w:p>
        </w:tc>
      </w:tr>
      <w:tr w14:paraId="7C849436">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2205" w:type="dxa"/>
            <w:vMerge w:val="restart"/>
            <w:shd w:val="clear" w:color="auto" w:fill="FFFFFF"/>
            <w:noWrap w:val="0"/>
            <w:vAlign w:val="center"/>
          </w:tcPr>
          <w:p w14:paraId="73F6CBE1">
            <w:pPr>
              <w:widowControl w:val="0"/>
              <w:kinsoku/>
              <w:autoSpaceDE w:val="0"/>
              <w:autoSpaceDN w:val="0"/>
              <w:adjustRightInd w:val="0"/>
              <w:snapToGrid w:val="0"/>
              <w:ind w:left="0" w:leftChars="0" w:right="0" w:rightChars="0" w:firstLine="0" w:firstLineChars="0"/>
              <w:jc w:val="left"/>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Geographic Stratification</w:t>
            </w:r>
          </w:p>
        </w:tc>
        <w:tc>
          <w:tcPr>
            <w:tcW w:w="2374" w:type="dxa"/>
            <w:shd w:val="clear" w:color="auto" w:fill="FFFFFF"/>
            <w:noWrap w:val="0"/>
            <w:vAlign w:val="center"/>
          </w:tcPr>
          <w:p w14:paraId="16B9E039">
            <w:pPr>
              <w:widowControl w:val="0"/>
              <w:kinsoku/>
              <w:autoSpaceDE w:val="0"/>
              <w:autoSpaceDN w:val="0"/>
              <w:adjustRightInd w:val="0"/>
              <w:snapToGrid w:val="0"/>
              <w:ind w:left="0" w:leftChars="0" w:right="0" w:rightChars="0" w:firstLine="0" w:firstLineChars="0"/>
              <w:jc w:val="left"/>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East Asia</w:t>
            </w:r>
          </w:p>
        </w:tc>
        <w:tc>
          <w:tcPr>
            <w:tcW w:w="1226" w:type="dxa"/>
            <w:shd w:val="clear" w:color="auto" w:fill="FFFFFF"/>
            <w:noWrap w:val="0"/>
            <w:vAlign w:val="center"/>
          </w:tcPr>
          <w:p w14:paraId="369703B3">
            <w:pPr>
              <w:widowControl w:val="0"/>
              <w:kinsoku/>
              <w:autoSpaceDE w:val="0"/>
              <w:autoSpaceDN w:val="0"/>
              <w:adjustRightInd w:val="0"/>
              <w:snapToGrid w:val="0"/>
              <w:ind w:left="0" w:leftChars="0" w:right="0" w:rightChars="0" w:firstLine="0" w:firstLineChars="0"/>
              <w:jc w:val="center"/>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10</w:t>
            </w:r>
          </w:p>
        </w:tc>
        <w:tc>
          <w:tcPr>
            <w:tcW w:w="1425" w:type="dxa"/>
            <w:shd w:val="clear" w:color="auto" w:fill="FFFFFF"/>
            <w:noWrap w:val="0"/>
            <w:vAlign w:val="center"/>
          </w:tcPr>
          <w:p w14:paraId="6D484ABB">
            <w:pPr>
              <w:widowControl w:val="0"/>
              <w:kinsoku/>
              <w:autoSpaceDE w:val="0"/>
              <w:autoSpaceDN w:val="0"/>
              <w:adjustRightInd w:val="0"/>
              <w:snapToGrid w:val="0"/>
              <w:ind w:left="0" w:leftChars="0" w:right="0" w:rightChars="0" w:firstLine="0" w:firstLineChars="0"/>
              <w:jc w:val="center"/>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50</w:t>
            </w:r>
          </w:p>
        </w:tc>
      </w:tr>
      <w:tr w14:paraId="213D28FD">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2205" w:type="dxa"/>
            <w:vMerge w:val="continue"/>
            <w:shd w:val="clear" w:color="auto" w:fill="FFFFFF"/>
            <w:noWrap w:val="0"/>
            <w:vAlign w:val="center"/>
          </w:tcPr>
          <w:p w14:paraId="4A2A3D62">
            <w:pPr>
              <w:widowControl w:val="0"/>
              <w:kinsoku/>
              <w:autoSpaceDE w:val="0"/>
              <w:autoSpaceDN w:val="0"/>
              <w:adjustRightInd w:val="0"/>
              <w:snapToGrid w:val="0"/>
              <w:ind w:left="0" w:leftChars="0" w:right="0" w:rightChars="0" w:firstLine="0" w:firstLineChars="0"/>
              <w:jc w:val="left"/>
              <w:textAlignment w:val="auto"/>
              <w:rPr>
                <w:rFonts w:ascii="Times New Roman" w:hAnsi="Times New Roman" w:eastAsia="MingLiU" w:cs="Times New Roman"/>
                <w:bCs/>
                <w:snapToGrid/>
                <w:color w:val="000000"/>
                <w:kern w:val="0"/>
                <w:sz w:val="18"/>
                <w:szCs w:val="18"/>
                <w:lang w:eastAsia="zh-CN"/>
              </w:rPr>
            </w:pPr>
          </w:p>
        </w:tc>
        <w:tc>
          <w:tcPr>
            <w:tcW w:w="2374" w:type="dxa"/>
            <w:shd w:val="clear" w:color="auto" w:fill="FFFFFF"/>
            <w:noWrap w:val="0"/>
            <w:vAlign w:val="center"/>
          </w:tcPr>
          <w:p w14:paraId="05BB9395">
            <w:pPr>
              <w:widowControl w:val="0"/>
              <w:kinsoku/>
              <w:autoSpaceDE w:val="0"/>
              <w:autoSpaceDN w:val="0"/>
              <w:adjustRightInd w:val="0"/>
              <w:snapToGrid w:val="0"/>
              <w:ind w:left="0" w:leftChars="0" w:right="0" w:rightChars="0" w:firstLine="0" w:firstLineChars="0"/>
              <w:jc w:val="left"/>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West &amp; Australia</w:t>
            </w:r>
          </w:p>
        </w:tc>
        <w:tc>
          <w:tcPr>
            <w:tcW w:w="1226" w:type="dxa"/>
            <w:shd w:val="clear" w:color="auto" w:fill="FFFFFF"/>
            <w:noWrap w:val="0"/>
            <w:vAlign w:val="center"/>
          </w:tcPr>
          <w:p w14:paraId="1C74123C">
            <w:pPr>
              <w:widowControl w:val="0"/>
              <w:kinsoku/>
              <w:autoSpaceDE w:val="0"/>
              <w:autoSpaceDN w:val="0"/>
              <w:adjustRightInd w:val="0"/>
              <w:snapToGrid w:val="0"/>
              <w:ind w:left="0" w:leftChars="0" w:right="0" w:rightChars="0" w:firstLine="0" w:firstLineChars="0"/>
              <w:jc w:val="center"/>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6</w:t>
            </w:r>
          </w:p>
        </w:tc>
        <w:tc>
          <w:tcPr>
            <w:tcW w:w="1425" w:type="dxa"/>
            <w:shd w:val="clear" w:color="auto" w:fill="FFFFFF"/>
            <w:noWrap w:val="0"/>
            <w:vAlign w:val="center"/>
          </w:tcPr>
          <w:p w14:paraId="19A770F1">
            <w:pPr>
              <w:widowControl w:val="0"/>
              <w:kinsoku/>
              <w:autoSpaceDE w:val="0"/>
              <w:autoSpaceDN w:val="0"/>
              <w:adjustRightInd w:val="0"/>
              <w:snapToGrid w:val="0"/>
              <w:ind w:left="0" w:leftChars="0" w:right="0" w:rightChars="0" w:firstLine="0" w:firstLineChars="0"/>
              <w:jc w:val="center"/>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30</w:t>
            </w:r>
          </w:p>
        </w:tc>
      </w:tr>
      <w:tr w14:paraId="6C28F98E">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2205" w:type="dxa"/>
            <w:vMerge w:val="continue"/>
            <w:shd w:val="clear" w:color="auto" w:fill="FFFFFF"/>
            <w:noWrap w:val="0"/>
            <w:vAlign w:val="center"/>
          </w:tcPr>
          <w:p w14:paraId="6B74B038">
            <w:pPr>
              <w:widowControl w:val="0"/>
              <w:kinsoku/>
              <w:autoSpaceDE w:val="0"/>
              <w:autoSpaceDN w:val="0"/>
              <w:adjustRightInd w:val="0"/>
              <w:snapToGrid w:val="0"/>
              <w:ind w:left="0" w:leftChars="0" w:right="0" w:rightChars="0" w:firstLine="0" w:firstLineChars="0"/>
              <w:jc w:val="left"/>
              <w:textAlignment w:val="auto"/>
              <w:rPr>
                <w:rFonts w:ascii="Times New Roman" w:hAnsi="Times New Roman" w:eastAsia="MingLiU" w:cs="Times New Roman"/>
                <w:bCs/>
                <w:snapToGrid/>
                <w:color w:val="000000"/>
                <w:kern w:val="0"/>
                <w:sz w:val="18"/>
                <w:szCs w:val="18"/>
                <w:lang w:eastAsia="zh-CN"/>
              </w:rPr>
            </w:pPr>
          </w:p>
        </w:tc>
        <w:tc>
          <w:tcPr>
            <w:tcW w:w="2374" w:type="dxa"/>
            <w:shd w:val="clear" w:color="auto" w:fill="FFFFFF"/>
            <w:noWrap w:val="0"/>
            <w:vAlign w:val="center"/>
          </w:tcPr>
          <w:p w14:paraId="73D78B41">
            <w:pPr>
              <w:widowControl w:val="0"/>
              <w:kinsoku/>
              <w:autoSpaceDE w:val="0"/>
              <w:autoSpaceDN w:val="0"/>
              <w:adjustRightInd w:val="0"/>
              <w:snapToGrid w:val="0"/>
              <w:ind w:left="0" w:leftChars="0" w:right="0" w:rightChars="0" w:firstLine="0" w:firstLineChars="0"/>
              <w:jc w:val="left"/>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Others</w:t>
            </w:r>
          </w:p>
        </w:tc>
        <w:tc>
          <w:tcPr>
            <w:tcW w:w="1226" w:type="dxa"/>
            <w:shd w:val="clear" w:color="auto" w:fill="FFFFFF"/>
            <w:noWrap w:val="0"/>
            <w:vAlign w:val="center"/>
          </w:tcPr>
          <w:p w14:paraId="4BA79EA8">
            <w:pPr>
              <w:widowControl w:val="0"/>
              <w:kinsoku/>
              <w:autoSpaceDE w:val="0"/>
              <w:autoSpaceDN w:val="0"/>
              <w:adjustRightInd w:val="0"/>
              <w:snapToGrid w:val="0"/>
              <w:ind w:left="0" w:leftChars="0" w:right="0" w:rightChars="0" w:firstLine="0" w:firstLineChars="0"/>
              <w:jc w:val="center"/>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4</w:t>
            </w:r>
          </w:p>
        </w:tc>
        <w:tc>
          <w:tcPr>
            <w:tcW w:w="1425" w:type="dxa"/>
            <w:shd w:val="clear" w:color="auto" w:fill="FFFFFF"/>
            <w:noWrap w:val="0"/>
            <w:vAlign w:val="center"/>
          </w:tcPr>
          <w:p w14:paraId="6FDD3984">
            <w:pPr>
              <w:widowControl w:val="0"/>
              <w:kinsoku/>
              <w:autoSpaceDE w:val="0"/>
              <w:autoSpaceDN w:val="0"/>
              <w:adjustRightInd w:val="0"/>
              <w:snapToGrid w:val="0"/>
              <w:ind w:left="0" w:leftChars="0" w:right="0" w:rightChars="0" w:firstLine="0" w:firstLineChars="0"/>
              <w:jc w:val="center"/>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20</w:t>
            </w:r>
          </w:p>
        </w:tc>
      </w:tr>
      <w:tr w14:paraId="69B99BF1">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2205" w:type="dxa"/>
            <w:vMerge w:val="restart"/>
            <w:shd w:val="clear" w:color="auto" w:fill="FFFFFF"/>
            <w:noWrap w:val="0"/>
            <w:vAlign w:val="center"/>
          </w:tcPr>
          <w:p w14:paraId="7CE73186">
            <w:pPr>
              <w:widowControl w:val="0"/>
              <w:kinsoku/>
              <w:autoSpaceDE w:val="0"/>
              <w:autoSpaceDN w:val="0"/>
              <w:adjustRightInd w:val="0"/>
              <w:snapToGrid w:val="0"/>
              <w:ind w:left="0" w:leftChars="0" w:right="0" w:rightChars="0" w:firstLine="0" w:firstLineChars="0"/>
              <w:jc w:val="left"/>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Disciplinary Categorization</w:t>
            </w:r>
          </w:p>
        </w:tc>
        <w:tc>
          <w:tcPr>
            <w:tcW w:w="2374" w:type="dxa"/>
            <w:shd w:val="clear" w:color="auto" w:fill="FFFFFF"/>
            <w:noWrap w:val="0"/>
            <w:vAlign w:val="center"/>
          </w:tcPr>
          <w:p w14:paraId="29FD4C92">
            <w:pPr>
              <w:widowControl w:val="0"/>
              <w:kinsoku/>
              <w:autoSpaceDE w:val="0"/>
              <w:autoSpaceDN w:val="0"/>
              <w:adjustRightInd w:val="0"/>
              <w:snapToGrid w:val="0"/>
              <w:ind w:left="0" w:leftChars="0" w:right="0" w:rightChars="0" w:firstLine="0" w:firstLineChars="0"/>
              <w:jc w:val="left"/>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Visual/Spatial Design</w:t>
            </w:r>
          </w:p>
        </w:tc>
        <w:tc>
          <w:tcPr>
            <w:tcW w:w="1226" w:type="dxa"/>
            <w:shd w:val="clear" w:color="auto" w:fill="FFFFFF"/>
            <w:noWrap w:val="0"/>
            <w:vAlign w:val="center"/>
          </w:tcPr>
          <w:p w14:paraId="3B00CE6D">
            <w:pPr>
              <w:widowControl w:val="0"/>
              <w:kinsoku/>
              <w:autoSpaceDE w:val="0"/>
              <w:autoSpaceDN w:val="0"/>
              <w:adjustRightInd w:val="0"/>
              <w:snapToGrid w:val="0"/>
              <w:ind w:left="0" w:leftChars="0" w:right="0" w:rightChars="0" w:firstLine="0" w:firstLineChars="0"/>
              <w:jc w:val="center"/>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9</w:t>
            </w:r>
          </w:p>
        </w:tc>
        <w:tc>
          <w:tcPr>
            <w:tcW w:w="1425" w:type="dxa"/>
            <w:shd w:val="clear" w:color="auto" w:fill="FFFFFF"/>
            <w:noWrap w:val="0"/>
            <w:vAlign w:val="center"/>
          </w:tcPr>
          <w:p w14:paraId="5359B52C">
            <w:pPr>
              <w:widowControl w:val="0"/>
              <w:kinsoku/>
              <w:autoSpaceDE w:val="0"/>
              <w:autoSpaceDN w:val="0"/>
              <w:adjustRightInd w:val="0"/>
              <w:snapToGrid w:val="0"/>
              <w:ind w:left="0" w:leftChars="0" w:right="0" w:rightChars="0" w:firstLine="0" w:firstLineChars="0"/>
              <w:jc w:val="center"/>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45</w:t>
            </w:r>
          </w:p>
        </w:tc>
      </w:tr>
      <w:tr w14:paraId="23DC27D7">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2205" w:type="dxa"/>
            <w:vMerge w:val="continue"/>
            <w:shd w:val="clear" w:color="auto" w:fill="FFFFFF"/>
            <w:noWrap w:val="0"/>
            <w:vAlign w:val="center"/>
          </w:tcPr>
          <w:p w14:paraId="4F4C3D88">
            <w:pPr>
              <w:widowControl w:val="0"/>
              <w:kinsoku/>
              <w:autoSpaceDE w:val="0"/>
              <w:autoSpaceDN w:val="0"/>
              <w:adjustRightInd w:val="0"/>
              <w:snapToGrid w:val="0"/>
              <w:ind w:left="0" w:leftChars="0" w:right="0" w:rightChars="0" w:firstLine="0" w:firstLineChars="0"/>
              <w:jc w:val="left"/>
              <w:textAlignment w:val="auto"/>
              <w:rPr>
                <w:rFonts w:ascii="Times New Roman" w:hAnsi="Times New Roman" w:eastAsia="MingLiU" w:cs="Times New Roman"/>
                <w:bCs/>
                <w:snapToGrid/>
                <w:color w:val="000000"/>
                <w:kern w:val="0"/>
                <w:sz w:val="18"/>
                <w:szCs w:val="18"/>
                <w:lang w:eastAsia="zh-CN"/>
              </w:rPr>
            </w:pPr>
          </w:p>
        </w:tc>
        <w:tc>
          <w:tcPr>
            <w:tcW w:w="2374" w:type="dxa"/>
            <w:shd w:val="clear" w:color="auto" w:fill="FFFFFF"/>
            <w:noWrap w:val="0"/>
            <w:vAlign w:val="center"/>
          </w:tcPr>
          <w:p w14:paraId="1B5DA63D">
            <w:pPr>
              <w:widowControl w:val="0"/>
              <w:kinsoku/>
              <w:autoSpaceDE w:val="0"/>
              <w:autoSpaceDN w:val="0"/>
              <w:adjustRightInd w:val="0"/>
              <w:snapToGrid w:val="0"/>
              <w:ind w:left="0" w:leftChars="0" w:right="0" w:rightChars="0" w:firstLine="0" w:firstLineChars="0"/>
              <w:jc w:val="left"/>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Pure Arts</w:t>
            </w:r>
          </w:p>
        </w:tc>
        <w:tc>
          <w:tcPr>
            <w:tcW w:w="1226" w:type="dxa"/>
            <w:shd w:val="clear" w:color="auto" w:fill="FFFFFF"/>
            <w:noWrap w:val="0"/>
            <w:vAlign w:val="center"/>
          </w:tcPr>
          <w:p w14:paraId="0859C9AE">
            <w:pPr>
              <w:widowControl w:val="0"/>
              <w:kinsoku/>
              <w:autoSpaceDE w:val="0"/>
              <w:autoSpaceDN w:val="0"/>
              <w:adjustRightInd w:val="0"/>
              <w:snapToGrid w:val="0"/>
              <w:ind w:left="0" w:leftChars="0" w:right="0" w:rightChars="0" w:firstLine="0" w:firstLineChars="0"/>
              <w:jc w:val="center"/>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2</w:t>
            </w:r>
          </w:p>
        </w:tc>
        <w:tc>
          <w:tcPr>
            <w:tcW w:w="1425" w:type="dxa"/>
            <w:shd w:val="clear" w:color="auto" w:fill="FFFFFF"/>
            <w:noWrap w:val="0"/>
            <w:vAlign w:val="center"/>
          </w:tcPr>
          <w:p w14:paraId="2A5F6A73">
            <w:pPr>
              <w:widowControl w:val="0"/>
              <w:kinsoku/>
              <w:autoSpaceDE w:val="0"/>
              <w:autoSpaceDN w:val="0"/>
              <w:adjustRightInd w:val="0"/>
              <w:snapToGrid w:val="0"/>
              <w:ind w:left="0" w:leftChars="0" w:right="0" w:rightChars="0" w:firstLine="0" w:firstLineChars="0"/>
              <w:jc w:val="center"/>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10</w:t>
            </w:r>
          </w:p>
        </w:tc>
      </w:tr>
      <w:tr w14:paraId="7BF5F719">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2205" w:type="dxa"/>
            <w:vMerge w:val="continue"/>
            <w:shd w:val="clear" w:color="auto" w:fill="FFFFFF"/>
            <w:noWrap w:val="0"/>
            <w:vAlign w:val="center"/>
          </w:tcPr>
          <w:p w14:paraId="1FFCCC5C">
            <w:pPr>
              <w:widowControl w:val="0"/>
              <w:kinsoku/>
              <w:autoSpaceDE w:val="0"/>
              <w:autoSpaceDN w:val="0"/>
              <w:adjustRightInd w:val="0"/>
              <w:snapToGrid w:val="0"/>
              <w:ind w:left="0" w:leftChars="0" w:right="0" w:rightChars="0" w:firstLine="0" w:firstLineChars="0"/>
              <w:jc w:val="left"/>
              <w:textAlignment w:val="auto"/>
              <w:rPr>
                <w:rFonts w:ascii="Times New Roman" w:hAnsi="Times New Roman" w:eastAsia="MingLiU" w:cs="Times New Roman"/>
                <w:bCs/>
                <w:snapToGrid/>
                <w:color w:val="000000"/>
                <w:kern w:val="0"/>
                <w:sz w:val="18"/>
                <w:szCs w:val="18"/>
                <w:lang w:eastAsia="zh-CN"/>
              </w:rPr>
            </w:pPr>
          </w:p>
        </w:tc>
        <w:tc>
          <w:tcPr>
            <w:tcW w:w="2374" w:type="dxa"/>
            <w:shd w:val="clear" w:color="auto" w:fill="FFFFFF"/>
            <w:noWrap w:val="0"/>
            <w:vAlign w:val="center"/>
          </w:tcPr>
          <w:p w14:paraId="6851EE86">
            <w:pPr>
              <w:widowControl w:val="0"/>
              <w:kinsoku/>
              <w:autoSpaceDE w:val="0"/>
              <w:autoSpaceDN w:val="0"/>
              <w:adjustRightInd w:val="0"/>
              <w:snapToGrid w:val="0"/>
              <w:ind w:left="0" w:leftChars="0" w:right="0" w:rightChars="0" w:firstLine="0" w:firstLineChars="0"/>
              <w:jc w:val="left"/>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Mixed/Interdisciplinary</w:t>
            </w:r>
          </w:p>
        </w:tc>
        <w:tc>
          <w:tcPr>
            <w:tcW w:w="1226" w:type="dxa"/>
            <w:shd w:val="clear" w:color="auto" w:fill="FFFFFF"/>
            <w:noWrap w:val="0"/>
            <w:vAlign w:val="center"/>
          </w:tcPr>
          <w:p w14:paraId="46D69954">
            <w:pPr>
              <w:widowControl w:val="0"/>
              <w:kinsoku/>
              <w:autoSpaceDE w:val="0"/>
              <w:autoSpaceDN w:val="0"/>
              <w:adjustRightInd w:val="0"/>
              <w:snapToGrid w:val="0"/>
              <w:ind w:left="0" w:leftChars="0" w:right="0" w:rightChars="0" w:firstLine="0" w:firstLineChars="0"/>
              <w:jc w:val="center"/>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8</w:t>
            </w:r>
          </w:p>
        </w:tc>
        <w:tc>
          <w:tcPr>
            <w:tcW w:w="1425" w:type="dxa"/>
            <w:shd w:val="clear" w:color="auto" w:fill="FFFFFF"/>
            <w:noWrap w:val="0"/>
            <w:vAlign w:val="center"/>
          </w:tcPr>
          <w:p w14:paraId="32247040">
            <w:pPr>
              <w:widowControl w:val="0"/>
              <w:kinsoku/>
              <w:autoSpaceDE w:val="0"/>
              <w:autoSpaceDN w:val="0"/>
              <w:adjustRightInd w:val="0"/>
              <w:snapToGrid w:val="0"/>
              <w:ind w:left="0" w:leftChars="0" w:right="0" w:rightChars="0" w:firstLine="0" w:firstLineChars="0"/>
              <w:jc w:val="center"/>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40</w:t>
            </w:r>
          </w:p>
        </w:tc>
      </w:tr>
      <w:tr w14:paraId="0FC82A59">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2205" w:type="dxa"/>
            <w:vMerge w:val="continue"/>
            <w:shd w:val="clear" w:color="auto" w:fill="FFFFFF"/>
            <w:noWrap w:val="0"/>
            <w:vAlign w:val="center"/>
          </w:tcPr>
          <w:p w14:paraId="4054ECA5">
            <w:pPr>
              <w:widowControl w:val="0"/>
              <w:kinsoku/>
              <w:autoSpaceDE w:val="0"/>
              <w:autoSpaceDN w:val="0"/>
              <w:adjustRightInd w:val="0"/>
              <w:snapToGrid w:val="0"/>
              <w:ind w:left="0" w:leftChars="0" w:right="0" w:rightChars="0" w:firstLine="0" w:firstLineChars="0"/>
              <w:jc w:val="left"/>
              <w:textAlignment w:val="auto"/>
              <w:rPr>
                <w:rFonts w:ascii="Times New Roman" w:hAnsi="Times New Roman" w:eastAsia="MingLiU" w:cs="Times New Roman"/>
                <w:bCs/>
                <w:snapToGrid/>
                <w:color w:val="000000"/>
                <w:kern w:val="0"/>
                <w:sz w:val="18"/>
                <w:szCs w:val="18"/>
                <w:lang w:eastAsia="zh-CN"/>
              </w:rPr>
            </w:pPr>
          </w:p>
        </w:tc>
        <w:tc>
          <w:tcPr>
            <w:tcW w:w="2374" w:type="dxa"/>
            <w:shd w:val="clear" w:color="auto" w:fill="FFFFFF"/>
            <w:noWrap w:val="0"/>
            <w:vAlign w:val="center"/>
          </w:tcPr>
          <w:p w14:paraId="174379C5">
            <w:pPr>
              <w:widowControl w:val="0"/>
              <w:kinsoku/>
              <w:autoSpaceDE w:val="0"/>
              <w:autoSpaceDN w:val="0"/>
              <w:adjustRightInd w:val="0"/>
              <w:snapToGrid w:val="0"/>
              <w:ind w:left="0" w:leftChars="0" w:right="0" w:rightChars="0" w:firstLine="0" w:firstLineChars="0"/>
              <w:jc w:val="left"/>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Others</w:t>
            </w:r>
          </w:p>
        </w:tc>
        <w:tc>
          <w:tcPr>
            <w:tcW w:w="1226" w:type="dxa"/>
            <w:shd w:val="clear" w:color="auto" w:fill="FFFFFF"/>
            <w:noWrap w:val="0"/>
            <w:vAlign w:val="center"/>
          </w:tcPr>
          <w:p w14:paraId="3CD7C252">
            <w:pPr>
              <w:widowControl w:val="0"/>
              <w:kinsoku/>
              <w:autoSpaceDE w:val="0"/>
              <w:autoSpaceDN w:val="0"/>
              <w:adjustRightInd w:val="0"/>
              <w:snapToGrid w:val="0"/>
              <w:ind w:left="0" w:leftChars="0" w:right="0" w:rightChars="0" w:firstLine="0" w:firstLineChars="0"/>
              <w:jc w:val="center"/>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1</w:t>
            </w:r>
          </w:p>
        </w:tc>
        <w:tc>
          <w:tcPr>
            <w:tcW w:w="1425" w:type="dxa"/>
            <w:shd w:val="clear" w:color="auto" w:fill="FFFFFF"/>
            <w:noWrap w:val="0"/>
            <w:vAlign w:val="center"/>
          </w:tcPr>
          <w:p w14:paraId="039E4B04">
            <w:pPr>
              <w:widowControl w:val="0"/>
              <w:kinsoku/>
              <w:autoSpaceDE w:val="0"/>
              <w:autoSpaceDN w:val="0"/>
              <w:adjustRightInd w:val="0"/>
              <w:snapToGrid w:val="0"/>
              <w:ind w:left="0" w:leftChars="0" w:right="0" w:rightChars="0" w:firstLine="0" w:firstLineChars="0"/>
              <w:jc w:val="center"/>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5</w:t>
            </w:r>
          </w:p>
        </w:tc>
      </w:tr>
      <w:tr w14:paraId="4691120D">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2205" w:type="dxa"/>
            <w:vMerge w:val="restart"/>
            <w:shd w:val="clear" w:color="auto" w:fill="FFFFFF"/>
            <w:noWrap w:val="0"/>
            <w:vAlign w:val="center"/>
          </w:tcPr>
          <w:p w14:paraId="368A58D9">
            <w:pPr>
              <w:widowControl w:val="0"/>
              <w:kinsoku/>
              <w:autoSpaceDE w:val="0"/>
              <w:autoSpaceDN w:val="0"/>
              <w:adjustRightInd w:val="0"/>
              <w:snapToGrid w:val="0"/>
              <w:ind w:left="0" w:leftChars="0" w:right="0" w:rightChars="0" w:firstLine="0" w:firstLineChars="0"/>
              <w:jc w:val="left"/>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Student Type</w:t>
            </w:r>
          </w:p>
        </w:tc>
        <w:tc>
          <w:tcPr>
            <w:tcW w:w="2374" w:type="dxa"/>
            <w:shd w:val="clear" w:color="auto" w:fill="FFFFFF"/>
            <w:noWrap w:val="0"/>
            <w:vAlign w:val="center"/>
          </w:tcPr>
          <w:p w14:paraId="127084B1">
            <w:pPr>
              <w:widowControl w:val="0"/>
              <w:kinsoku/>
              <w:autoSpaceDE w:val="0"/>
              <w:autoSpaceDN w:val="0"/>
              <w:adjustRightInd w:val="0"/>
              <w:snapToGrid w:val="0"/>
              <w:ind w:left="0" w:leftChars="0" w:right="0" w:rightChars="0" w:firstLine="0" w:firstLineChars="0"/>
              <w:jc w:val="left"/>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Undergraduate</w:t>
            </w:r>
          </w:p>
        </w:tc>
        <w:tc>
          <w:tcPr>
            <w:tcW w:w="1226" w:type="dxa"/>
            <w:shd w:val="clear" w:color="auto" w:fill="FFFFFF"/>
            <w:noWrap w:val="0"/>
            <w:vAlign w:val="center"/>
          </w:tcPr>
          <w:p w14:paraId="23881771">
            <w:pPr>
              <w:widowControl w:val="0"/>
              <w:kinsoku/>
              <w:autoSpaceDE w:val="0"/>
              <w:autoSpaceDN w:val="0"/>
              <w:adjustRightInd w:val="0"/>
              <w:snapToGrid w:val="0"/>
              <w:ind w:left="0" w:leftChars="0" w:right="0" w:rightChars="0" w:firstLine="0" w:firstLineChars="0"/>
              <w:jc w:val="center"/>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14</w:t>
            </w:r>
          </w:p>
        </w:tc>
        <w:tc>
          <w:tcPr>
            <w:tcW w:w="1425" w:type="dxa"/>
            <w:shd w:val="clear" w:color="auto" w:fill="FFFFFF"/>
            <w:noWrap w:val="0"/>
            <w:vAlign w:val="center"/>
          </w:tcPr>
          <w:p w14:paraId="545BD4F3">
            <w:pPr>
              <w:widowControl w:val="0"/>
              <w:kinsoku/>
              <w:autoSpaceDE w:val="0"/>
              <w:autoSpaceDN w:val="0"/>
              <w:adjustRightInd w:val="0"/>
              <w:snapToGrid w:val="0"/>
              <w:ind w:left="0" w:leftChars="0" w:right="0" w:rightChars="0" w:firstLine="0" w:firstLineChars="0"/>
              <w:jc w:val="center"/>
              <w:textAlignment w:val="auto"/>
              <w:rPr>
                <w:rFonts w:ascii="Times New Roman" w:hAnsi="Times New Roman" w:eastAsia="MingLiU" w:cs="Times New Roman"/>
                <w:bCs/>
                <w:snapToGrid/>
                <w:color w:val="000000"/>
                <w:kern w:val="0"/>
                <w:sz w:val="18"/>
                <w:szCs w:val="18"/>
                <w:lang w:eastAsia="zh-CN"/>
              </w:rPr>
            </w:pPr>
            <w:r>
              <w:rPr>
                <w:rFonts w:ascii="Times New Roman" w:hAnsi="Times New Roman" w:eastAsia="MingLiU" w:cs="Times New Roman"/>
                <w:bCs/>
                <w:snapToGrid/>
                <w:color w:val="000000"/>
                <w:kern w:val="0"/>
                <w:sz w:val="18"/>
                <w:szCs w:val="18"/>
                <w:lang w:eastAsia="zh-CN"/>
              </w:rPr>
              <w:t>70</w:t>
            </w:r>
          </w:p>
        </w:tc>
      </w:tr>
      <w:tr w14:paraId="60E4A14A">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2205" w:type="dxa"/>
            <w:vMerge w:val="continue"/>
            <w:shd w:val="clear" w:color="auto" w:fill="FFFFFF"/>
            <w:noWrap w:val="0"/>
            <w:vAlign w:val="center"/>
          </w:tcPr>
          <w:p w14:paraId="230AC9E6">
            <w:pPr>
              <w:snapToGrid w:val="0"/>
              <w:spacing w:line="240" w:lineRule="auto"/>
              <w:ind w:left="0" w:leftChars="0" w:right="0" w:rightChars="0" w:firstLine="0" w:firstLineChars="0"/>
              <w:contextualSpacing/>
              <w:jc w:val="left"/>
              <w:rPr>
                <w:rFonts w:ascii="Times New Roman" w:hAnsi="Times New Roman" w:eastAsia="MingLiU" w:cs="Times New Roman"/>
                <w:sz w:val="18"/>
                <w:szCs w:val="24"/>
              </w:rPr>
            </w:pPr>
          </w:p>
        </w:tc>
        <w:tc>
          <w:tcPr>
            <w:tcW w:w="2374" w:type="dxa"/>
            <w:shd w:val="clear" w:color="auto" w:fill="FFFFFF"/>
            <w:noWrap w:val="0"/>
            <w:vAlign w:val="center"/>
          </w:tcPr>
          <w:p w14:paraId="33699509">
            <w:pPr>
              <w:snapToGrid w:val="0"/>
              <w:spacing w:line="240" w:lineRule="auto"/>
              <w:ind w:left="0" w:leftChars="0" w:right="0" w:rightChars="0" w:firstLine="0" w:firstLineChars="0"/>
              <w:contextualSpacing/>
              <w:jc w:val="left"/>
              <w:rPr>
                <w:rFonts w:ascii="Times New Roman" w:hAnsi="Times New Roman" w:eastAsia="MingLiU" w:cs="Times New Roman"/>
                <w:sz w:val="18"/>
                <w:szCs w:val="24"/>
              </w:rPr>
            </w:pPr>
            <w:r>
              <w:rPr>
                <w:rFonts w:ascii="Times New Roman" w:hAnsi="Times New Roman" w:eastAsia="MingLiU" w:cs="Times New Roman"/>
                <w:sz w:val="18"/>
                <w:szCs w:val="24"/>
                <w:lang w:eastAsia="zh-CN"/>
              </w:rPr>
              <w:t>Graduate/Professional/Mixed</w:t>
            </w:r>
          </w:p>
        </w:tc>
        <w:tc>
          <w:tcPr>
            <w:tcW w:w="1226" w:type="dxa"/>
            <w:shd w:val="clear" w:color="auto" w:fill="FFFFFF"/>
            <w:noWrap w:val="0"/>
            <w:vAlign w:val="center"/>
          </w:tcPr>
          <w:p w14:paraId="113007EF">
            <w:pPr>
              <w:snapToGrid w:val="0"/>
              <w:spacing w:line="240" w:lineRule="auto"/>
              <w:ind w:left="0" w:leftChars="0" w:right="0" w:rightChars="0" w:firstLine="0" w:firstLineChars="0"/>
              <w:contextualSpacing/>
              <w:jc w:val="center"/>
              <w:rPr>
                <w:rFonts w:ascii="Times New Roman" w:hAnsi="Times New Roman" w:eastAsia="MingLiU" w:cs="Times New Roman"/>
                <w:sz w:val="18"/>
                <w:szCs w:val="24"/>
              </w:rPr>
            </w:pPr>
            <w:r>
              <w:rPr>
                <w:rFonts w:ascii="Times New Roman" w:hAnsi="Times New Roman" w:eastAsia="MingLiU" w:cs="Times New Roman"/>
                <w:sz w:val="18"/>
                <w:szCs w:val="24"/>
                <w:lang w:eastAsia="zh-CN"/>
              </w:rPr>
              <w:t>6</w:t>
            </w:r>
          </w:p>
        </w:tc>
        <w:tc>
          <w:tcPr>
            <w:tcW w:w="1425" w:type="dxa"/>
            <w:shd w:val="clear" w:color="auto" w:fill="FFFFFF"/>
            <w:noWrap w:val="0"/>
            <w:vAlign w:val="center"/>
          </w:tcPr>
          <w:p w14:paraId="6E17E8BD">
            <w:pPr>
              <w:snapToGrid w:val="0"/>
              <w:spacing w:line="240" w:lineRule="auto"/>
              <w:ind w:left="0" w:leftChars="0" w:right="0" w:rightChars="0" w:firstLine="0" w:firstLineChars="0"/>
              <w:contextualSpacing/>
              <w:jc w:val="center"/>
              <w:rPr>
                <w:rFonts w:ascii="Times New Roman" w:hAnsi="Times New Roman" w:eastAsia="MingLiU" w:cs="Times New Roman"/>
                <w:sz w:val="18"/>
                <w:szCs w:val="24"/>
              </w:rPr>
            </w:pPr>
            <w:r>
              <w:rPr>
                <w:rFonts w:ascii="Times New Roman" w:hAnsi="Times New Roman" w:eastAsia="MingLiU" w:cs="Times New Roman"/>
                <w:sz w:val="18"/>
                <w:szCs w:val="24"/>
                <w:lang w:eastAsia="zh-CN"/>
              </w:rPr>
              <w:t>30</w:t>
            </w:r>
          </w:p>
        </w:tc>
      </w:tr>
      <w:tr w14:paraId="4898B6B8">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2205" w:type="dxa"/>
            <w:vMerge w:val="restart"/>
            <w:shd w:val="clear" w:color="auto" w:fill="FFFFFF"/>
            <w:noWrap w:val="0"/>
            <w:vAlign w:val="center"/>
          </w:tcPr>
          <w:p w14:paraId="0E9E25CF">
            <w:pPr>
              <w:snapToGrid w:val="0"/>
              <w:spacing w:line="240" w:lineRule="auto"/>
              <w:ind w:left="0" w:leftChars="0" w:right="0" w:rightChars="0" w:firstLine="0" w:firstLineChars="0"/>
              <w:contextualSpacing/>
              <w:jc w:val="left"/>
              <w:rPr>
                <w:rFonts w:ascii="Times New Roman" w:hAnsi="Times New Roman" w:eastAsia="MingLiU" w:cs="Times New Roman"/>
                <w:sz w:val="18"/>
                <w:szCs w:val="24"/>
              </w:rPr>
            </w:pPr>
            <w:r>
              <w:rPr>
                <w:rFonts w:ascii="Times New Roman" w:hAnsi="Times New Roman" w:eastAsia="MingLiU" w:cs="Times New Roman"/>
                <w:sz w:val="18"/>
                <w:szCs w:val="24"/>
                <w:lang w:eastAsia="zh-CN"/>
              </w:rPr>
              <w:t>Research Design Type</w:t>
            </w:r>
          </w:p>
        </w:tc>
        <w:tc>
          <w:tcPr>
            <w:tcW w:w="2374" w:type="dxa"/>
            <w:shd w:val="clear" w:color="auto" w:fill="FFFFFF"/>
            <w:noWrap w:val="0"/>
            <w:vAlign w:val="center"/>
          </w:tcPr>
          <w:p w14:paraId="2D3F7A17">
            <w:pPr>
              <w:snapToGrid w:val="0"/>
              <w:spacing w:line="240" w:lineRule="auto"/>
              <w:ind w:left="0" w:leftChars="0" w:right="0" w:rightChars="0" w:firstLine="0" w:firstLineChars="0"/>
              <w:contextualSpacing/>
              <w:jc w:val="left"/>
              <w:rPr>
                <w:rFonts w:ascii="Times New Roman" w:hAnsi="Times New Roman" w:eastAsia="MingLiU" w:cs="Times New Roman"/>
                <w:sz w:val="18"/>
                <w:szCs w:val="24"/>
              </w:rPr>
            </w:pPr>
            <w:r>
              <w:rPr>
                <w:rFonts w:ascii="Times New Roman" w:hAnsi="Times New Roman" w:eastAsia="MingLiU" w:cs="Times New Roman"/>
                <w:sz w:val="18"/>
                <w:szCs w:val="24"/>
                <w:lang w:eastAsia="zh-CN"/>
              </w:rPr>
              <w:t>Qualitative</w:t>
            </w:r>
          </w:p>
        </w:tc>
        <w:tc>
          <w:tcPr>
            <w:tcW w:w="1226" w:type="dxa"/>
            <w:shd w:val="clear" w:color="auto" w:fill="FFFFFF"/>
            <w:noWrap w:val="0"/>
            <w:vAlign w:val="center"/>
          </w:tcPr>
          <w:p w14:paraId="0A3E63D1">
            <w:pPr>
              <w:snapToGrid w:val="0"/>
              <w:spacing w:line="240" w:lineRule="auto"/>
              <w:ind w:left="0" w:leftChars="0" w:right="0" w:rightChars="0" w:firstLine="0" w:firstLineChars="0"/>
              <w:contextualSpacing/>
              <w:jc w:val="center"/>
              <w:rPr>
                <w:rFonts w:ascii="Times New Roman" w:hAnsi="Times New Roman" w:eastAsia="MingLiU" w:cs="Times New Roman"/>
                <w:sz w:val="18"/>
                <w:szCs w:val="24"/>
              </w:rPr>
            </w:pPr>
            <w:r>
              <w:rPr>
                <w:rFonts w:ascii="Times New Roman" w:hAnsi="Times New Roman" w:eastAsia="MingLiU" w:cs="Times New Roman"/>
                <w:sz w:val="18"/>
                <w:szCs w:val="24"/>
                <w:lang w:eastAsia="zh-CN"/>
              </w:rPr>
              <w:t>4</w:t>
            </w:r>
          </w:p>
        </w:tc>
        <w:tc>
          <w:tcPr>
            <w:tcW w:w="1425" w:type="dxa"/>
            <w:shd w:val="clear" w:color="auto" w:fill="FFFFFF"/>
            <w:noWrap w:val="0"/>
            <w:vAlign w:val="center"/>
          </w:tcPr>
          <w:p w14:paraId="38B0A75A">
            <w:pPr>
              <w:snapToGrid w:val="0"/>
              <w:spacing w:line="240" w:lineRule="auto"/>
              <w:ind w:left="0" w:leftChars="0" w:right="0" w:rightChars="0" w:firstLine="0" w:firstLineChars="0"/>
              <w:contextualSpacing/>
              <w:jc w:val="center"/>
              <w:rPr>
                <w:rFonts w:ascii="Times New Roman" w:hAnsi="Times New Roman" w:eastAsia="MingLiU" w:cs="Times New Roman"/>
                <w:sz w:val="18"/>
                <w:szCs w:val="24"/>
              </w:rPr>
            </w:pPr>
            <w:r>
              <w:rPr>
                <w:rFonts w:ascii="Times New Roman" w:hAnsi="Times New Roman" w:eastAsia="MingLiU" w:cs="Times New Roman"/>
                <w:sz w:val="18"/>
                <w:szCs w:val="24"/>
                <w:lang w:eastAsia="zh-CN"/>
              </w:rPr>
              <w:t>20</w:t>
            </w:r>
          </w:p>
        </w:tc>
      </w:tr>
      <w:tr w14:paraId="19AFF952">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2205" w:type="dxa"/>
            <w:vMerge w:val="continue"/>
            <w:shd w:val="clear" w:color="auto" w:fill="FFFFFF"/>
            <w:noWrap w:val="0"/>
            <w:vAlign w:val="center"/>
          </w:tcPr>
          <w:p w14:paraId="1F8BACDA">
            <w:pPr>
              <w:snapToGrid w:val="0"/>
              <w:spacing w:line="240" w:lineRule="auto"/>
              <w:ind w:left="0" w:leftChars="0" w:right="0" w:rightChars="0" w:firstLine="0" w:firstLineChars="0"/>
              <w:contextualSpacing/>
              <w:jc w:val="left"/>
              <w:rPr>
                <w:rFonts w:ascii="Times New Roman" w:hAnsi="Times New Roman" w:eastAsia="MingLiU" w:cs="Times New Roman"/>
                <w:sz w:val="18"/>
                <w:szCs w:val="24"/>
              </w:rPr>
            </w:pPr>
          </w:p>
        </w:tc>
        <w:tc>
          <w:tcPr>
            <w:tcW w:w="2374" w:type="dxa"/>
            <w:shd w:val="clear" w:color="auto" w:fill="FFFFFF"/>
            <w:noWrap w:val="0"/>
            <w:vAlign w:val="center"/>
          </w:tcPr>
          <w:p w14:paraId="1E6021B3">
            <w:pPr>
              <w:snapToGrid w:val="0"/>
              <w:spacing w:line="240" w:lineRule="auto"/>
              <w:ind w:left="0" w:leftChars="0" w:right="0" w:rightChars="0" w:firstLine="0" w:firstLineChars="0"/>
              <w:contextualSpacing/>
              <w:jc w:val="left"/>
              <w:rPr>
                <w:rFonts w:ascii="Times New Roman" w:hAnsi="Times New Roman" w:eastAsia="MingLiU" w:cs="Times New Roman"/>
                <w:sz w:val="18"/>
                <w:szCs w:val="24"/>
              </w:rPr>
            </w:pPr>
            <w:r>
              <w:rPr>
                <w:rFonts w:ascii="Times New Roman" w:hAnsi="Times New Roman" w:eastAsia="MingLiU" w:cs="Times New Roman"/>
                <w:sz w:val="18"/>
                <w:szCs w:val="24"/>
                <w:lang w:eastAsia="zh-CN"/>
              </w:rPr>
              <w:t>Quantitative</w:t>
            </w:r>
          </w:p>
        </w:tc>
        <w:tc>
          <w:tcPr>
            <w:tcW w:w="1226" w:type="dxa"/>
            <w:shd w:val="clear" w:color="auto" w:fill="FFFFFF"/>
            <w:noWrap w:val="0"/>
            <w:vAlign w:val="center"/>
          </w:tcPr>
          <w:p w14:paraId="00C51C04">
            <w:pPr>
              <w:snapToGrid w:val="0"/>
              <w:spacing w:line="240" w:lineRule="auto"/>
              <w:ind w:left="0" w:leftChars="0" w:right="0" w:rightChars="0" w:firstLine="0" w:firstLineChars="0"/>
              <w:contextualSpacing/>
              <w:jc w:val="center"/>
              <w:rPr>
                <w:rFonts w:ascii="Times New Roman" w:hAnsi="Times New Roman" w:eastAsia="MingLiU" w:cs="Times New Roman"/>
                <w:sz w:val="18"/>
                <w:szCs w:val="24"/>
              </w:rPr>
            </w:pPr>
            <w:r>
              <w:rPr>
                <w:rFonts w:ascii="Times New Roman" w:hAnsi="Times New Roman" w:eastAsia="MingLiU" w:cs="Times New Roman"/>
                <w:sz w:val="18"/>
                <w:szCs w:val="24"/>
                <w:lang w:eastAsia="zh-CN"/>
              </w:rPr>
              <w:t>6</w:t>
            </w:r>
          </w:p>
        </w:tc>
        <w:tc>
          <w:tcPr>
            <w:tcW w:w="1425" w:type="dxa"/>
            <w:shd w:val="clear" w:color="auto" w:fill="FFFFFF"/>
            <w:noWrap w:val="0"/>
            <w:vAlign w:val="center"/>
          </w:tcPr>
          <w:p w14:paraId="552B5F2F">
            <w:pPr>
              <w:snapToGrid w:val="0"/>
              <w:spacing w:line="240" w:lineRule="auto"/>
              <w:ind w:left="0" w:leftChars="0" w:right="0" w:rightChars="0" w:firstLine="0" w:firstLineChars="0"/>
              <w:contextualSpacing/>
              <w:jc w:val="center"/>
              <w:rPr>
                <w:rFonts w:ascii="Times New Roman" w:hAnsi="Times New Roman" w:eastAsia="MingLiU" w:cs="Times New Roman"/>
                <w:sz w:val="18"/>
                <w:szCs w:val="24"/>
              </w:rPr>
            </w:pPr>
            <w:r>
              <w:rPr>
                <w:rFonts w:ascii="Times New Roman" w:hAnsi="Times New Roman" w:eastAsia="MingLiU" w:cs="Times New Roman"/>
                <w:sz w:val="18"/>
                <w:szCs w:val="24"/>
                <w:lang w:eastAsia="zh-CN"/>
              </w:rPr>
              <w:t>30</w:t>
            </w:r>
          </w:p>
        </w:tc>
      </w:tr>
      <w:tr w14:paraId="5E2A9129">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2205" w:type="dxa"/>
            <w:vMerge w:val="continue"/>
            <w:shd w:val="clear" w:color="auto" w:fill="FFFFFF"/>
            <w:noWrap w:val="0"/>
            <w:vAlign w:val="center"/>
          </w:tcPr>
          <w:p w14:paraId="48A34D55">
            <w:pPr>
              <w:snapToGrid w:val="0"/>
              <w:spacing w:line="240" w:lineRule="auto"/>
              <w:ind w:left="0" w:leftChars="0" w:right="0" w:rightChars="0" w:firstLine="0" w:firstLineChars="0"/>
              <w:contextualSpacing/>
              <w:jc w:val="left"/>
              <w:rPr>
                <w:rFonts w:ascii="Times New Roman" w:hAnsi="Times New Roman" w:eastAsia="MingLiU" w:cs="Times New Roman"/>
                <w:sz w:val="18"/>
                <w:szCs w:val="24"/>
              </w:rPr>
            </w:pPr>
          </w:p>
        </w:tc>
        <w:tc>
          <w:tcPr>
            <w:tcW w:w="2374" w:type="dxa"/>
            <w:shd w:val="clear" w:color="auto" w:fill="FFFFFF"/>
            <w:noWrap w:val="0"/>
            <w:vAlign w:val="center"/>
          </w:tcPr>
          <w:p w14:paraId="1690461C">
            <w:pPr>
              <w:snapToGrid w:val="0"/>
              <w:spacing w:line="240" w:lineRule="auto"/>
              <w:ind w:left="0" w:leftChars="0" w:right="0" w:rightChars="0" w:firstLine="0" w:firstLineChars="0"/>
              <w:contextualSpacing/>
              <w:jc w:val="left"/>
              <w:rPr>
                <w:rFonts w:ascii="Times New Roman" w:hAnsi="Times New Roman" w:eastAsia="MingLiU" w:cs="Times New Roman"/>
                <w:sz w:val="18"/>
                <w:szCs w:val="24"/>
              </w:rPr>
            </w:pPr>
            <w:r>
              <w:rPr>
                <w:rFonts w:ascii="Times New Roman" w:hAnsi="Times New Roman" w:eastAsia="MingLiU" w:cs="Times New Roman"/>
                <w:sz w:val="18"/>
                <w:szCs w:val="24"/>
                <w:lang w:eastAsia="zh-CN"/>
              </w:rPr>
              <w:t>Mixed-Methods</w:t>
            </w:r>
          </w:p>
        </w:tc>
        <w:tc>
          <w:tcPr>
            <w:tcW w:w="1226" w:type="dxa"/>
            <w:shd w:val="clear" w:color="auto" w:fill="FFFFFF"/>
            <w:noWrap w:val="0"/>
            <w:vAlign w:val="center"/>
          </w:tcPr>
          <w:p w14:paraId="5B39A121">
            <w:pPr>
              <w:snapToGrid w:val="0"/>
              <w:spacing w:line="240" w:lineRule="auto"/>
              <w:ind w:left="0" w:leftChars="0" w:right="0" w:rightChars="0" w:firstLine="0" w:firstLineChars="0"/>
              <w:contextualSpacing/>
              <w:jc w:val="center"/>
              <w:rPr>
                <w:rFonts w:ascii="Times New Roman" w:hAnsi="Times New Roman" w:eastAsia="MingLiU" w:cs="Times New Roman"/>
                <w:sz w:val="18"/>
                <w:szCs w:val="24"/>
              </w:rPr>
            </w:pPr>
            <w:r>
              <w:rPr>
                <w:rFonts w:ascii="Times New Roman" w:hAnsi="Times New Roman" w:eastAsia="MingLiU" w:cs="Times New Roman"/>
                <w:sz w:val="18"/>
                <w:szCs w:val="24"/>
                <w:lang w:eastAsia="zh-CN"/>
              </w:rPr>
              <w:t>6</w:t>
            </w:r>
          </w:p>
        </w:tc>
        <w:tc>
          <w:tcPr>
            <w:tcW w:w="1425" w:type="dxa"/>
            <w:shd w:val="clear" w:color="auto" w:fill="FFFFFF"/>
            <w:noWrap w:val="0"/>
            <w:vAlign w:val="center"/>
          </w:tcPr>
          <w:p w14:paraId="4D37F2F5">
            <w:pPr>
              <w:snapToGrid w:val="0"/>
              <w:spacing w:line="240" w:lineRule="auto"/>
              <w:ind w:left="0" w:leftChars="0" w:right="0" w:rightChars="0" w:firstLine="0" w:firstLineChars="0"/>
              <w:contextualSpacing/>
              <w:jc w:val="center"/>
              <w:rPr>
                <w:rFonts w:ascii="Times New Roman" w:hAnsi="Times New Roman" w:eastAsia="MingLiU" w:cs="Times New Roman"/>
                <w:sz w:val="18"/>
                <w:szCs w:val="24"/>
              </w:rPr>
            </w:pPr>
            <w:r>
              <w:rPr>
                <w:rFonts w:ascii="Times New Roman" w:hAnsi="Times New Roman" w:eastAsia="MingLiU" w:cs="Times New Roman"/>
                <w:sz w:val="18"/>
                <w:szCs w:val="24"/>
                <w:lang w:eastAsia="zh-CN"/>
              </w:rPr>
              <w:t>30</w:t>
            </w:r>
          </w:p>
        </w:tc>
      </w:tr>
      <w:tr w14:paraId="2CB19346">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2205" w:type="dxa"/>
            <w:vMerge w:val="continue"/>
            <w:shd w:val="clear" w:color="auto" w:fill="FFFFFF"/>
            <w:noWrap w:val="0"/>
            <w:vAlign w:val="center"/>
          </w:tcPr>
          <w:p w14:paraId="509E6A5E">
            <w:pPr>
              <w:snapToGrid w:val="0"/>
              <w:spacing w:line="240" w:lineRule="auto"/>
              <w:ind w:left="0" w:leftChars="0" w:right="0" w:rightChars="0" w:firstLine="0" w:firstLineChars="0"/>
              <w:contextualSpacing/>
              <w:jc w:val="left"/>
              <w:rPr>
                <w:rFonts w:ascii="Times New Roman" w:hAnsi="Times New Roman" w:eastAsia="MingLiU" w:cs="Times New Roman"/>
                <w:sz w:val="18"/>
                <w:szCs w:val="24"/>
              </w:rPr>
            </w:pPr>
          </w:p>
        </w:tc>
        <w:tc>
          <w:tcPr>
            <w:tcW w:w="2374" w:type="dxa"/>
            <w:shd w:val="clear" w:color="auto" w:fill="FFFFFF"/>
            <w:noWrap w:val="0"/>
            <w:vAlign w:val="center"/>
          </w:tcPr>
          <w:p w14:paraId="00734F80">
            <w:pPr>
              <w:snapToGrid w:val="0"/>
              <w:spacing w:line="240" w:lineRule="auto"/>
              <w:ind w:left="0" w:leftChars="0" w:right="0" w:rightChars="0" w:firstLine="0" w:firstLineChars="0"/>
              <w:contextualSpacing/>
              <w:jc w:val="left"/>
              <w:rPr>
                <w:rFonts w:ascii="Times New Roman" w:hAnsi="Times New Roman" w:eastAsia="MingLiU" w:cs="Times New Roman"/>
                <w:sz w:val="18"/>
                <w:szCs w:val="24"/>
              </w:rPr>
            </w:pPr>
            <w:r>
              <w:rPr>
                <w:rFonts w:ascii="Times New Roman" w:hAnsi="Times New Roman" w:eastAsia="MingLiU" w:cs="Times New Roman"/>
                <w:sz w:val="18"/>
                <w:szCs w:val="24"/>
                <w:lang w:eastAsia="zh-CN"/>
              </w:rPr>
              <w:t>Others</w:t>
            </w:r>
          </w:p>
        </w:tc>
        <w:tc>
          <w:tcPr>
            <w:tcW w:w="1226" w:type="dxa"/>
            <w:shd w:val="clear" w:color="auto" w:fill="FFFFFF"/>
            <w:noWrap w:val="0"/>
            <w:vAlign w:val="center"/>
          </w:tcPr>
          <w:p w14:paraId="13EF23FC">
            <w:pPr>
              <w:snapToGrid w:val="0"/>
              <w:spacing w:line="240" w:lineRule="auto"/>
              <w:ind w:left="0" w:leftChars="0" w:right="0" w:rightChars="0" w:firstLine="0" w:firstLineChars="0"/>
              <w:contextualSpacing/>
              <w:jc w:val="center"/>
              <w:rPr>
                <w:rFonts w:ascii="Times New Roman" w:hAnsi="Times New Roman" w:eastAsia="MingLiU" w:cs="Times New Roman"/>
                <w:sz w:val="18"/>
                <w:szCs w:val="24"/>
              </w:rPr>
            </w:pPr>
            <w:r>
              <w:rPr>
                <w:rFonts w:ascii="Times New Roman" w:hAnsi="Times New Roman" w:eastAsia="MingLiU" w:cs="Times New Roman"/>
                <w:sz w:val="18"/>
                <w:szCs w:val="24"/>
                <w:lang w:eastAsia="zh-CN"/>
              </w:rPr>
              <w:t>4</w:t>
            </w:r>
          </w:p>
        </w:tc>
        <w:tc>
          <w:tcPr>
            <w:tcW w:w="1425" w:type="dxa"/>
            <w:shd w:val="clear" w:color="auto" w:fill="FFFFFF"/>
            <w:noWrap w:val="0"/>
            <w:vAlign w:val="center"/>
          </w:tcPr>
          <w:p w14:paraId="06AF71A5">
            <w:pPr>
              <w:snapToGrid w:val="0"/>
              <w:spacing w:line="240" w:lineRule="auto"/>
              <w:ind w:left="0" w:leftChars="0" w:right="0" w:rightChars="0" w:firstLine="0" w:firstLineChars="0"/>
              <w:contextualSpacing/>
              <w:jc w:val="center"/>
              <w:rPr>
                <w:rFonts w:ascii="Times New Roman" w:hAnsi="Times New Roman" w:eastAsia="MingLiU" w:cs="Times New Roman"/>
                <w:sz w:val="18"/>
                <w:szCs w:val="24"/>
              </w:rPr>
            </w:pPr>
            <w:r>
              <w:rPr>
                <w:rFonts w:ascii="Times New Roman" w:hAnsi="Times New Roman" w:eastAsia="MingLiU" w:cs="Times New Roman"/>
                <w:sz w:val="18"/>
                <w:szCs w:val="24"/>
                <w:lang w:eastAsia="zh-CN"/>
              </w:rPr>
              <w:t>20</w:t>
            </w:r>
          </w:p>
        </w:tc>
      </w:tr>
      <w:tr w14:paraId="1EBCC0DB">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4579" w:type="dxa"/>
            <w:gridSpan w:val="2"/>
            <w:shd w:val="clear" w:color="auto" w:fill="FFFFFF"/>
            <w:noWrap w:val="0"/>
            <w:vAlign w:val="center"/>
          </w:tcPr>
          <w:p w14:paraId="338BBAC8">
            <w:pPr>
              <w:snapToGrid w:val="0"/>
              <w:spacing w:line="240" w:lineRule="auto"/>
              <w:ind w:left="0" w:leftChars="0" w:right="0" w:rightChars="0" w:firstLine="0" w:firstLineChars="0"/>
              <w:contextualSpacing/>
              <w:jc w:val="left"/>
              <w:rPr>
                <w:rFonts w:ascii="Times New Roman" w:hAnsi="Times New Roman" w:eastAsia="MingLiU" w:cs="Times New Roman"/>
                <w:sz w:val="18"/>
                <w:szCs w:val="24"/>
              </w:rPr>
            </w:pPr>
            <w:r>
              <w:rPr>
                <w:rFonts w:ascii="Times New Roman" w:hAnsi="Times New Roman" w:eastAsia="MingLiU" w:cs="Times New Roman"/>
                <w:sz w:val="18"/>
                <w:szCs w:val="24"/>
                <w:lang w:eastAsia="zh-CN"/>
              </w:rPr>
              <w:t>Total</w:t>
            </w:r>
          </w:p>
        </w:tc>
        <w:tc>
          <w:tcPr>
            <w:tcW w:w="1226" w:type="dxa"/>
            <w:shd w:val="clear" w:color="auto" w:fill="FFFFFF"/>
            <w:noWrap w:val="0"/>
            <w:vAlign w:val="center"/>
          </w:tcPr>
          <w:p w14:paraId="32898204">
            <w:pPr>
              <w:snapToGrid w:val="0"/>
              <w:spacing w:line="240" w:lineRule="auto"/>
              <w:ind w:left="0" w:leftChars="0" w:right="0" w:rightChars="0" w:firstLine="0" w:firstLineChars="0"/>
              <w:contextualSpacing/>
              <w:jc w:val="center"/>
              <w:rPr>
                <w:rFonts w:ascii="Times New Roman" w:hAnsi="Times New Roman" w:eastAsia="MingLiU" w:cs="Times New Roman"/>
                <w:sz w:val="18"/>
                <w:szCs w:val="24"/>
              </w:rPr>
            </w:pPr>
            <w:r>
              <w:rPr>
                <w:rFonts w:ascii="Times New Roman" w:hAnsi="Times New Roman" w:eastAsia="MingLiU" w:cs="Times New Roman"/>
                <w:sz w:val="18"/>
                <w:szCs w:val="24"/>
                <w:lang w:eastAsia="zh-CN"/>
              </w:rPr>
              <w:t>20</w:t>
            </w:r>
          </w:p>
        </w:tc>
        <w:tc>
          <w:tcPr>
            <w:tcW w:w="1425" w:type="dxa"/>
            <w:shd w:val="clear" w:color="auto" w:fill="FFFFFF"/>
            <w:noWrap w:val="0"/>
            <w:vAlign w:val="center"/>
          </w:tcPr>
          <w:p w14:paraId="4C83E775">
            <w:pPr>
              <w:snapToGrid w:val="0"/>
              <w:spacing w:line="240" w:lineRule="auto"/>
              <w:ind w:left="0" w:leftChars="0" w:right="0" w:rightChars="0" w:firstLine="0" w:firstLineChars="0"/>
              <w:contextualSpacing/>
              <w:jc w:val="center"/>
              <w:rPr>
                <w:rFonts w:ascii="Times New Roman" w:hAnsi="Times New Roman" w:eastAsia="MingLiU" w:cs="Times New Roman"/>
                <w:sz w:val="18"/>
                <w:szCs w:val="24"/>
              </w:rPr>
            </w:pPr>
            <w:r>
              <w:rPr>
                <w:rFonts w:ascii="Times New Roman" w:hAnsi="Times New Roman" w:eastAsia="MingLiU" w:cs="Times New Roman"/>
                <w:sz w:val="18"/>
                <w:szCs w:val="24"/>
                <w:lang w:eastAsia="zh-CN"/>
              </w:rPr>
              <w:t>100</w:t>
            </w:r>
          </w:p>
        </w:tc>
      </w:tr>
    </w:tbl>
    <w:p w14:paraId="532372C2">
      <w:pPr>
        <w:widowControl w:val="0"/>
        <w:kinsoku/>
        <w:autoSpaceDE/>
        <w:autoSpaceDN/>
        <w:adjustRightInd/>
        <w:snapToGrid/>
        <w:jc w:val="both"/>
        <w:textAlignment w:val="auto"/>
        <w:rPr>
          <w:rFonts w:hint="default" w:ascii="Times New Roman" w:hAnsi="Times New Roman" w:cs="Times New Roman" w:eastAsiaTheme="minorEastAsia"/>
          <w:b/>
          <w:bCs/>
          <w:snapToGrid/>
          <w:kern w:val="2"/>
          <w:sz w:val="18"/>
          <w:szCs w:val="18"/>
          <w:lang w:val="en-US" w:eastAsia="zh-CN"/>
        </w:rPr>
      </w:pPr>
      <w:r>
        <w:rPr>
          <w:rFonts w:hint="eastAsia" w:ascii="Times New Roman" w:hAnsi="Times New Roman" w:cs="Times New Roman" w:eastAsiaTheme="minorEastAsia"/>
          <w:b/>
          <w:bCs/>
          <w:snapToGrid/>
          <w:kern w:val="2"/>
          <w:sz w:val="18"/>
          <w:szCs w:val="18"/>
          <w:lang w:val="en-US" w:eastAsia="zh-CN"/>
        </w:rPr>
        <w:t xml:space="preserve">Table </w:t>
      </w:r>
      <w:r>
        <w:rPr>
          <w:rFonts w:hint="eastAsia" w:ascii="Times New Roman" w:hAnsi="Times New Roman" w:cs="Times New Roman" w:eastAsiaTheme="minorEastAsia"/>
          <w:b/>
          <w:bCs/>
          <w:snapToGrid/>
          <w:kern w:val="2"/>
          <w:sz w:val="18"/>
          <w:szCs w:val="18"/>
          <w:lang w:val="en-US" w:eastAsia="zh-CN"/>
        </w:rPr>
        <w:fldChar w:fldCharType="begin"/>
      </w:r>
      <w:r>
        <w:rPr>
          <w:rFonts w:hint="eastAsia" w:ascii="Times New Roman" w:hAnsi="Times New Roman" w:cs="Times New Roman" w:eastAsiaTheme="minorEastAsia"/>
          <w:b/>
          <w:bCs/>
          <w:snapToGrid/>
          <w:kern w:val="2"/>
          <w:sz w:val="18"/>
          <w:szCs w:val="18"/>
          <w:lang w:val="en-US" w:eastAsia="zh-CN"/>
        </w:rPr>
        <w:instrText xml:space="preserve"> SEQ 表 \* ARABIC </w:instrText>
      </w:r>
      <w:r>
        <w:rPr>
          <w:rFonts w:hint="eastAsia" w:ascii="Times New Roman" w:hAnsi="Times New Roman" w:cs="Times New Roman" w:eastAsiaTheme="minorEastAsia"/>
          <w:b/>
          <w:bCs/>
          <w:snapToGrid/>
          <w:kern w:val="2"/>
          <w:sz w:val="18"/>
          <w:szCs w:val="18"/>
          <w:lang w:val="en-US" w:eastAsia="zh-CN"/>
        </w:rPr>
        <w:fldChar w:fldCharType="separate"/>
      </w:r>
      <w:r>
        <w:rPr>
          <w:rFonts w:hint="eastAsia" w:ascii="Times New Roman" w:hAnsi="Times New Roman" w:cs="Times New Roman" w:eastAsiaTheme="minorEastAsia"/>
          <w:b/>
          <w:bCs/>
          <w:snapToGrid/>
          <w:kern w:val="2"/>
          <w:sz w:val="18"/>
          <w:szCs w:val="18"/>
          <w:lang w:val="en-US" w:eastAsia="zh-CN"/>
        </w:rPr>
        <w:t>1</w:t>
      </w:r>
      <w:r>
        <w:rPr>
          <w:rFonts w:hint="eastAsia" w:ascii="Times New Roman" w:hAnsi="Times New Roman" w:cs="Times New Roman" w:eastAsiaTheme="minorEastAsia"/>
          <w:b/>
          <w:bCs/>
          <w:snapToGrid/>
          <w:kern w:val="2"/>
          <w:sz w:val="18"/>
          <w:szCs w:val="18"/>
          <w:lang w:val="en-US" w:eastAsia="zh-CN"/>
        </w:rPr>
        <w:fldChar w:fldCharType="end"/>
      </w:r>
      <w:r>
        <w:rPr>
          <w:rFonts w:hint="eastAsia" w:ascii="Times New Roman" w:hAnsi="Times New Roman" w:cs="Times New Roman" w:eastAsiaTheme="minorEastAsia"/>
          <w:b w:val="0"/>
          <w:bCs w:val="0"/>
          <w:snapToGrid/>
          <w:kern w:val="2"/>
          <w:sz w:val="18"/>
          <w:szCs w:val="18"/>
          <w:lang w:val="en-US" w:eastAsia="zh-CN"/>
        </w:rPr>
        <w:t xml:space="preserve">. </w:t>
      </w:r>
      <w:r>
        <w:rPr>
          <w:rFonts w:hint="default" w:ascii="Times New Roman" w:hAnsi="Times New Roman" w:cs="Times New Roman" w:eastAsiaTheme="minorEastAsia"/>
          <w:b w:val="0"/>
          <w:bCs w:val="0"/>
          <w:snapToGrid/>
          <w:kern w:val="2"/>
          <w:sz w:val="18"/>
          <w:szCs w:val="18"/>
          <w:lang w:val="en-US" w:eastAsia="zh-CN"/>
        </w:rPr>
        <w:t>Summary of Application Contexts and Intervention Models of GenAI in Creative</w:t>
      </w:r>
      <w:r>
        <w:rPr>
          <w:rFonts w:hint="eastAsia" w:ascii="Times New Roman" w:hAnsi="Times New Roman" w:cs="Times New Roman" w:eastAsiaTheme="minorEastAsia"/>
          <w:b w:val="0"/>
          <w:bCs w:val="0"/>
          <w:snapToGrid/>
          <w:kern w:val="2"/>
          <w:sz w:val="18"/>
          <w:szCs w:val="18"/>
          <w:lang w:val="en-US" w:eastAsia="zh-CN"/>
        </w:rPr>
        <w:t xml:space="preserve"> </w:t>
      </w:r>
      <w:r>
        <w:rPr>
          <w:rFonts w:hint="default" w:ascii="Times New Roman" w:hAnsi="Times New Roman" w:cs="Times New Roman" w:eastAsiaTheme="minorEastAsia"/>
          <w:b w:val="0"/>
          <w:bCs w:val="0"/>
          <w:snapToGrid/>
          <w:kern w:val="2"/>
          <w:sz w:val="18"/>
          <w:szCs w:val="18"/>
          <w:lang w:val="en-US" w:eastAsia="zh-CN"/>
        </w:rPr>
        <w:t>Education</w:t>
      </w:r>
    </w:p>
    <w:p w14:paraId="7A8DE354">
      <w:pPr>
        <w:pStyle w:val="6"/>
        <w:snapToGrid/>
        <w:spacing w:before="55" w:line="480" w:lineRule="auto"/>
        <w:contextualSpacing/>
        <w:jc w:val="both"/>
        <w:outlineLvl w:val="2"/>
        <w:rPr>
          <w:rFonts w:ascii="Times New Roman" w:hAnsi="Times New Roman" w:eastAsia="宋体" w:cs="Times New Roman"/>
          <w:b/>
          <w:bCs/>
          <w:snapToGrid/>
          <w:sz w:val="20"/>
          <w:szCs w:val="20"/>
          <w:lang w:val="zh-CN" w:eastAsia="zh-CN" w:bidi="ar-SA"/>
        </w:rPr>
      </w:pPr>
      <w:r>
        <w:rPr>
          <w:rFonts w:ascii="Times New Roman" w:hAnsi="Times New Roman" w:eastAsia="宋体" w:cs="Times New Roman"/>
          <w:b/>
          <w:bCs/>
          <w:snapToGrid/>
          <w:sz w:val="20"/>
          <w:szCs w:val="20"/>
          <w:lang w:val="zh-CN" w:eastAsia="zh-CN" w:bidi="ar-SA"/>
        </w:rPr>
        <w:t>Integration Methods</w:t>
      </w:r>
    </w:p>
    <w:p w14:paraId="1914A953">
      <w:pPr>
        <w:kinsoku/>
        <w:adjustRightInd/>
        <w:snapToGrid/>
        <w:jc w:val="both"/>
        <w:textAlignment w:val="auto"/>
        <w:outlineLvl w:val="1"/>
        <w:rPr>
          <w:rFonts w:hint="eastAsia" w:ascii="Times New Roman" w:hAnsi="Times New Roman" w:eastAsia="宋体" w:cs="Times New Roman"/>
          <w:snapToGrid/>
          <w:color w:val="auto"/>
          <w:sz w:val="20"/>
          <w:szCs w:val="20"/>
          <w:lang w:val="zh-CN" w:eastAsia="zh-CN"/>
        </w:rPr>
      </w:pPr>
      <w:r>
        <w:rPr>
          <w:rFonts w:hint="eastAsia" w:ascii="Times New Roman" w:hAnsi="Times New Roman" w:eastAsia="宋体" w:cs="Times New Roman"/>
          <w:snapToGrid/>
          <w:color w:val="auto"/>
          <w:sz w:val="20"/>
          <w:szCs w:val="20"/>
          <w:lang w:val="zh-CN" w:eastAsia="zh-CN"/>
        </w:rPr>
        <w:t>The major ways in which GenAI can be incorporated in education arise in six ways. Studio-based coursework (6 studies, 30%), in which GenAI tools are integrated into existing design modules or semester-long projects instead of standalone exercises, is the most prevalent. This practice makes GenAI the logical follow-up to the design practice but creates the risk of commodifying creativity in case of a lack of critical reflection</w:t>
      </w:r>
      <w:r>
        <w:rPr>
          <w:rFonts w:hint="eastAsia" w:ascii="Times New Roman" w:hAnsi="Times New Roman" w:eastAsia="宋体" w:cs="Times New Roman"/>
          <w:snapToGrid/>
          <w:color w:val="auto"/>
          <w:sz w:val="20"/>
          <w:szCs w:val="20"/>
          <w:lang w:val="zh-CN" w:eastAsia="zh-CN"/>
        </w:rPr>
        <w:fldChar w:fldCharType="begin"/>
      </w:r>
      <w:r>
        <w:rPr>
          <w:rFonts w:hint="eastAsia" w:ascii="Times New Roman" w:hAnsi="Times New Roman" w:eastAsia="宋体" w:cs="Times New Roman"/>
          <w:snapToGrid/>
          <w:color w:val="auto"/>
          <w:sz w:val="20"/>
          <w:szCs w:val="20"/>
          <w:lang w:val="zh-CN" w:eastAsia="zh-CN"/>
        </w:rPr>
        <w:instrText xml:space="preserve"> ADDIN ZOTERO_ITEM CSL_CITATION {"citationID":"keNzZN4f","properties":{"formattedCitation":"&lt;sup&gt;30&lt;/sup&gt;","plainCitation":"30","noteIndex":0},"citationItems":[{"id":1252,"uris":["http://zotero.org/groups/6329368/items/9PTXGAMY"],"itemData":{"id":1252,"type":"paper-conference","abstract":"Generative AI image creation tools have the potential to transform design education and practice, but raise critical concerns for creativity and ownership. We leverage the 2022 launch of tools like Midjourney and DALL.E as a point dividing design enthusiasts into pre- and post-tool learners. In this paper, we conduct 28 artifact-based interviews with designers at varying levels of tool introduction, to understand how they perceive and use generative AI in their design roles. Our results indicate a rift in the value system of designers, with experienced designers being more circumspect about the loss of traditional creativity and foundational design skills. On the practical side, there exists a tension between the growing marketability of AI-related skills for design vs. the limited affordances of these tools for achieving meaningful designs. We discuss implications for the shifting definitions of design as a field, creativity and ownership, and AI in the design curriculum.","collection-title":"CHI '25","container-title":"Proceedings of the 2025 CHI Conference on Human Factors in Computing Systems","DOI":"10.1145/3706598.3713233","ISBN":"979-8-4007-1394-1","language":"en-US","page":"1–16","publisher":"Association for Computing Machinery","publisher-place":"New York, NY, USA","source":"ACM Digital Library","title":"Catalyst for Creativity or a Hollow Trend?: A Cross-Level Perspective on The Role of Generative AI in Design","title-short":"Catalyst for Creativity or a Hollow Trend?","URL":"https://dl.acm.org/doi/10.1145/3706598.3713233","author":[{"family":"Naqvi","given":"Syeda Masooma"},{"family":"He","given":"Ruichen"},{"family":"Kaur","given":"Harmanpreet"}],"accessed":{"date-parts":[["2026",1,7]]},"issued":{"date-parts":[["2025",4,25]]}}}],"schema":"https://github.com/citation-style-language/schema/raw/master/csl-citation.json"} </w:instrText>
      </w:r>
      <w:r>
        <w:rPr>
          <w:rFonts w:hint="eastAsia" w:ascii="Times New Roman" w:hAnsi="Times New Roman" w:eastAsia="宋体" w:cs="Times New Roman"/>
          <w:snapToGrid/>
          <w:color w:val="auto"/>
          <w:sz w:val="20"/>
          <w:szCs w:val="20"/>
          <w:lang w:val="zh-CN" w:eastAsia="zh-CN"/>
        </w:rPr>
        <w:fldChar w:fldCharType="separate"/>
      </w:r>
      <w:r>
        <w:rPr>
          <w:rFonts w:hint="eastAsia" w:ascii="Times New Roman" w:hAnsi="Times New Roman" w:eastAsia="宋体" w:cs="Times New Roman"/>
          <w:snapToGrid/>
          <w:color w:val="auto"/>
          <w:sz w:val="20"/>
          <w:szCs w:val="20"/>
          <w:vertAlign w:val="superscript"/>
          <w:lang w:val="zh-CN" w:eastAsia="zh-CN"/>
        </w:rPr>
        <w:t>30</w:t>
      </w:r>
      <w:r>
        <w:rPr>
          <w:rFonts w:hint="eastAsia" w:ascii="Times New Roman" w:hAnsi="Times New Roman" w:eastAsia="宋体" w:cs="Times New Roman"/>
          <w:snapToGrid/>
          <w:color w:val="auto"/>
          <w:sz w:val="20"/>
          <w:szCs w:val="20"/>
          <w:lang w:val="zh-CN" w:eastAsia="zh-CN"/>
        </w:rPr>
        <w:fldChar w:fldCharType="end"/>
      </w:r>
      <w:r>
        <w:rPr>
          <w:rFonts w:hint="eastAsia" w:ascii="Times New Roman" w:hAnsi="Times New Roman" w:eastAsia="宋体" w:cs="Times New Roman"/>
          <w:snapToGrid/>
          <w:color w:val="auto"/>
          <w:sz w:val="20"/>
          <w:szCs w:val="20"/>
          <w:lang w:val="zh-CN" w:eastAsia="zh-CN"/>
        </w:rPr>
        <w:t>. Teaching prompt engineering and design basics can also be used as a structured scaffold to learn more about the traditional and GenAI-mediated creative activities</w:t>
      </w:r>
      <w:r>
        <w:rPr>
          <w:rFonts w:hint="eastAsia" w:ascii="Times New Roman" w:hAnsi="Times New Roman" w:eastAsia="宋体" w:cs="Times New Roman"/>
          <w:snapToGrid/>
          <w:color w:val="auto"/>
          <w:sz w:val="20"/>
          <w:szCs w:val="20"/>
          <w:lang w:val="zh-CN" w:eastAsia="zh-CN"/>
        </w:rPr>
        <w:fldChar w:fldCharType="begin"/>
      </w:r>
      <w:r>
        <w:rPr>
          <w:rFonts w:hint="eastAsia" w:ascii="Times New Roman" w:hAnsi="Times New Roman" w:eastAsia="宋体" w:cs="Times New Roman"/>
          <w:snapToGrid/>
          <w:color w:val="auto"/>
          <w:sz w:val="20"/>
          <w:szCs w:val="20"/>
          <w:lang w:val="zh-CN" w:eastAsia="zh-CN"/>
        </w:rPr>
        <w:instrText xml:space="preserve"> ADDIN ZOTERO_ITEM CSL_CITATION {"citationID":"HRzpxBlD","properties":{"unsorted":true,"formattedCitation":"&lt;sup&gt;27,31&lt;/sup&gt;","plainCitation":"27,31","noteIndex":0},"citationItems":[{"id":817,"uris":["http://zotero.org/groups/6329368/items/V3BFVTRY"],"itemData":{"id":817,"type":"article-journal","abstract":"Interest in using generative artificial intelligence (GenAI) in design education is growing, yet its impact on students' creative processes and motivation remains underexplored, especially in advertising design. This qualitative exploratory case study examined how GenAI tools influenced 12 undergraduate graphic and multimedia design students during a 72-hour advertising challenge with GenAI at a private Malaysian university. Grounded in sociocultural theory's zone of proximal development and self-determination theory, the study explored how GenAI functioned as an instructional support. Data were collected through three focus group discussions and analysed thematically. Findings suggest that GenAI enhanced ideation, visualisation and collaboration, supporting students' sense of competence and relatedness. However, concerns emerged around creative autonomy and dependence on AI. The study positions GenAI as a conditional more knowledgeable other and highlights the importance of pedagogical strategies that foster critical reflection and ethical use. These insights contribute to the emerging discourse on AI in design education by connecting theory with empirical evidence and offering practical implications for curriculum development.","archive_location":"WOS:001609419600006","container-title":"AUSTRALASIAN JOURNAL OF EDUCATIONAL TECHNOLOGY","ISSN":"1449-3098","issue":"3","language":"English","page":"102-118","title":"72-hour advertising challenge with generative AI in an undergraduate graphic design module: A case study","volume":"41","author":[{"family":"Wong","given":"SC"},{"family":"Tan","given":"HW"},{"family":"Ooi","given":"KH"}],"issued":{"date-parts":[["2025"]]}},"label":"page"},{"id":1254,"uris":["http://zotero.org/groups/6329368/items/TQHFP9IJ"],"itemData":{"id":1254,"type":"article-journal","abstract":"The introduction of generative AI (GenAI) tools has created a significant disruption in the design professions as they become increasingly integrated into creative processes. Whilst there is an abundance of case-specific, applied studies testing how to integrate AI-supported tools into design workflows, little work has holistically examined their role and impact on the industrial design profession. This paper investigates human–AI co-creation, focussing specifically on the experiences and perspectives of industrial designers through a series of workshops and focus group discussions. In these workshops, industrial designers reflected on incorporating GenAI into their workflows via hands-on experiences with selected AI-based image generators. We conducted five workshops and focus group discussions with 32 industrial designers and design students, providing valuable insights into how the role and impact of GenAI for product design is perceived. Thematic analysis of the data collected from the discussions was triangulated with observation notes and AI-generated works collected during the workshop, offering a comprehensive view of the performance of said tools, their pragmatic uses, impacts on design performance and creativity, and anticipated effects on professional practise. Through designers’ elicited motivations and concerns, we outline the perceived professional opportunities, barriers, and risks of image generation. Drawing on these insights, we map the factors influencing GenAI adoption in the industrial design profession, framing the interplay of communication, automation, and designerly autonomy, and offer recommendations for the development of designer-friendly GenAI systems.","container-title":"AI &amp; SOCIETY","DOI":"10.1007/s00146-025-02504-6","ISSN":"1435-5655","journalAbbreviation":"AI &amp; Soc","language":"en","source":"Springer Link","title":"Designer experiences and perspectives on the role of generative AI in industrial design","URL":"https://doi.org/10.1007/s00146-025-02504-6","author":[{"family":"Süner-Pla-Cerdà","given":"Sedef"},{"family":"Şen","given":"Güzin"},{"family":"Kumbasar","given":"Ecem"},{"family":"Şahin","given":"Batuhan"},{"family":"Ünlü","given":"Canan Emine"}],"accessed":{"date-parts":[["2026",1,8]]},"issued":{"date-parts":[["2025",7,24]]}},"label":"page"}],"schema":"https://github.com/citation-style-language/schema/raw/master/csl-citation.json"} </w:instrText>
      </w:r>
      <w:r>
        <w:rPr>
          <w:rFonts w:hint="eastAsia" w:ascii="Times New Roman" w:hAnsi="Times New Roman" w:eastAsia="宋体" w:cs="Times New Roman"/>
          <w:snapToGrid/>
          <w:color w:val="auto"/>
          <w:sz w:val="20"/>
          <w:szCs w:val="20"/>
          <w:lang w:val="zh-CN" w:eastAsia="zh-CN"/>
        </w:rPr>
        <w:fldChar w:fldCharType="separate"/>
      </w:r>
      <w:r>
        <w:rPr>
          <w:rFonts w:hint="eastAsia" w:ascii="Times New Roman" w:hAnsi="Times New Roman" w:eastAsia="宋体" w:cs="Times New Roman"/>
          <w:snapToGrid/>
          <w:color w:val="auto"/>
          <w:sz w:val="20"/>
          <w:szCs w:val="20"/>
          <w:vertAlign w:val="superscript"/>
          <w:lang w:val="zh-CN" w:eastAsia="zh-CN"/>
        </w:rPr>
        <w:t>27,31</w:t>
      </w:r>
      <w:r>
        <w:rPr>
          <w:rFonts w:hint="eastAsia" w:ascii="Times New Roman" w:hAnsi="Times New Roman" w:eastAsia="宋体" w:cs="Times New Roman"/>
          <w:snapToGrid/>
          <w:color w:val="auto"/>
          <w:sz w:val="20"/>
          <w:szCs w:val="20"/>
          <w:lang w:val="zh-CN" w:eastAsia="zh-CN"/>
        </w:rPr>
        <w:fldChar w:fldCharType="end"/>
      </w:r>
      <w:r>
        <w:rPr>
          <w:rFonts w:hint="eastAsia" w:ascii="Times New Roman" w:hAnsi="Times New Roman" w:eastAsia="宋体" w:cs="Times New Roman"/>
          <w:snapToGrid/>
          <w:color w:val="auto"/>
          <w:sz w:val="20"/>
          <w:szCs w:val="20"/>
          <w:lang w:val="zh-CN" w:eastAsia="zh-CN"/>
        </w:rPr>
        <w:t>.</w:t>
      </w:r>
    </w:p>
    <w:p w14:paraId="2BF9E743">
      <w:pPr>
        <w:kinsoku/>
        <w:adjustRightInd/>
        <w:snapToGrid/>
        <w:ind w:firstLine="400" w:firstLineChars="200"/>
        <w:jc w:val="both"/>
        <w:textAlignment w:val="auto"/>
        <w:outlineLvl w:val="1"/>
        <w:rPr>
          <w:rFonts w:hint="eastAsia" w:ascii="Times New Roman" w:hAnsi="Times New Roman" w:eastAsia="宋体" w:cs="Times New Roman"/>
          <w:snapToGrid/>
          <w:color w:val="auto"/>
          <w:sz w:val="20"/>
          <w:szCs w:val="20"/>
          <w:lang w:val="zh-CN" w:eastAsia="zh-CN"/>
        </w:rPr>
      </w:pPr>
      <w:r>
        <w:rPr>
          <w:rFonts w:hint="eastAsia" w:ascii="Times New Roman" w:hAnsi="Times New Roman" w:eastAsia="宋体" w:cs="Times New Roman"/>
          <w:snapToGrid/>
          <w:color w:val="auto"/>
          <w:sz w:val="20"/>
          <w:szCs w:val="20"/>
          <w:lang w:val="zh-CN" w:eastAsia="zh-CN"/>
        </w:rPr>
        <w:t xml:space="preserve">One in </w:t>
      </w:r>
      <w:r>
        <w:rPr>
          <w:rFonts w:hint="default" w:ascii="Times New Roman" w:hAnsi="Times New Roman" w:eastAsia="宋体" w:cs="Times New Roman"/>
          <w:snapToGrid/>
          <w:color w:val="auto"/>
          <w:sz w:val="20"/>
          <w:szCs w:val="20"/>
          <w:lang w:val="zh-CN" w:eastAsia="zh-CN"/>
        </w:rPr>
        <w:t>4 studies (25%) utilized workshop-style interventions, which are intensive 2-4 week workshops that address a particular problem like sustainable product design or interface development</w:t>
      </w:r>
      <w:r>
        <w:rPr>
          <w:rFonts w:hint="default" w:ascii="Times New Roman" w:hAnsi="Times New Roman" w:eastAsia="宋体" w:cs="Times New Roman"/>
          <w:snapToGrid/>
          <w:color w:val="auto"/>
          <w:sz w:val="20"/>
          <w:szCs w:val="20"/>
          <w:lang w:val="zh-CN" w:eastAsia="zh-CN"/>
        </w:rPr>
        <w:fldChar w:fldCharType="begin"/>
      </w:r>
      <w:r>
        <w:rPr>
          <w:rFonts w:hint="eastAsia" w:ascii="Times New Roman" w:hAnsi="Times New Roman" w:eastAsia="宋体" w:cs="Times New Roman"/>
          <w:snapToGrid/>
          <w:color w:val="auto"/>
          <w:sz w:val="20"/>
          <w:szCs w:val="20"/>
          <w:lang w:val="zh-CN" w:eastAsia="zh-CN"/>
        </w:rPr>
        <w:instrText xml:space="preserve"> ADDIN ZOTERO_ITEM CSL_CITATION {"citationID":"ipIGSObn","properties":{"formattedCitation":"&lt;sup&gt;28&lt;/sup&gt;","plainCitation":"28","noteIndex":0},"citationItems":[{"id":1250,"uris":["http://zotero.org/groups/6329368/items/Q425HVJJ"],"itemData":{"id":1250,"type":"article-journal","abstract":"This study focuses on Generative Artificial Intelligence (AI) and its transformative impact on design ideation. Generative AI, recognized for its ability to produce a wide array of design alternatives, has become an important tool in design, reshaping traditional methodologies. It facilitates the generation of novel and diverse design forms, acting as a co-creator in the design process. This technology, through machine learning and pattern recognition, analyzes extensive design datasets, enabling the production of innovative solutions. The utilization of generative AI extends beyond replicating AI-provided solutions; it aids in developing and influencing novel concepts, thus fostering original design solutions. This aligns with the concept of ‘reflective practice’ in design, where designers iteratively refine concepts through a dialogue between thought and action. The study employed a quasi-experimental design with 40 design students, randomly assigned to two groups of 20 each. Conducted in two phases, each phase involved a distinct urban furniture design task. In Phase 1, Group A was provided with a text-to-image generating AI tool, while Group B was not. In Phase 2, both groups undertook a similar task without AI assistance. This design exercise allowed for examining the influence of AI on creativity and cognitive load. Design outcomes from both tasks were anonymized and evaluated by experienced professionals using the Creative Product Semantic Scale (CPSS), which measures Novelty, Resolution, and Elaboration and Synthesis. Additionally, the NASA Task Load Index (NASA TLX) questionnaire assessed cognitive load aspects such as mental demand and effort. Findings suggest that generative AI significantly influences the creative design process, enhancing the quality of design outcomes and reducing cognitive load. The AI group demonstrated better performance in both tasks, indicating the impact of AI tools on design skills. This study underscores the potential of AI tools in design education, balancing cognitive load management with creativity enhancement.","container-title":"International Journal of Architectural Computing","DOI":"10.1177/14780771241254637","ISSN":"1478-0771","issue":"1","language":"EN","page":"122-136","publisher":"SAGE Publications","source":"SAGE Journals","title":"Can artificial intelligence support creativity in early design processes?","volume":"23","author":[{"family":"Chandrasekera","given":"Tilanka"},{"family":"Hosseini","given":"Zahrasadat"},{"family":"Perera","given":"Ubhaya"}],"issued":{"date-parts":[["2025",3,1]]}}}],"schema":"https://github.com/citation-style-language/schema/raw/master/csl-citation.json"} </w:instrText>
      </w:r>
      <w:r>
        <w:rPr>
          <w:rFonts w:hint="default" w:ascii="Times New Roman" w:hAnsi="Times New Roman" w:eastAsia="宋体" w:cs="Times New Roman"/>
          <w:snapToGrid/>
          <w:color w:val="auto"/>
          <w:sz w:val="20"/>
          <w:szCs w:val="20"/>
          <w:lang w:val="zh-CN" w:eastAsia="zh-CN"/>
        </w:rPr>
        <w:fldChar w:fldCharType="separate"/>
      </w:r>
      <w:r>
        <w:rPr>
          <w:rFonts w:hint="eastAsia" w:ascii="Times New Roman" w:hAnsi="Times New Roman" w:eastAsia="宋体" w:cs="Times New Roman"/>
          <w:snapToGrid/>
          <w:color w:val="auto"/>
          <w:sz w:val="20"/>
          <w:szCs w:val="20"/>
          <w:vertAlign w:val="superscript"/>
          <w:lang w:val="zh-CN" w:eastAsia="zh-CN"/>
        </w:rPr>
        <w:t>28</w:t>
      </w:r>
      <w:r>
        <w:rPr>
          <w:rFonts w:hint="default" w:ascii="Times New Roman" w:hAnsi="Times New Roman" w:eastAsia="宋体" w:cs="Times New Roman"/>
          <w:snapToGrid/>
          <w:color w:val="auto"/>
          <w:sz w:val="20"/>
          <w:szCs w:val="20"/>
          <w:lang w:val="zh-CN" w:eastAsia="zh-CN"/>
        </w:rPr>
        <w:fldChar w:fldCharType="end"/>
      </w:r>
      <w:r>
        <w:rPr>
          <w:rFonts w:hint="default" w:ascii="Times New Roman" w:hAnsi="Times New Roman" w:eastAsia="宋体" w:cs="Times New Roman"/>
          <w:snapToGrid/>
          <w:color w:val="auto"/>
          <w:sz w:val="20"/>
          <w:szCs w:val="20"/>
          <w:lang w:val="zh-CN" w:eastAsia="zh-CN"/>
        </w:rPr>
        <w:t xml:space="preserve">. These interventions provide opportunities for experimenting with new tools in supportive learning environments without the stress of immediate grading. However, post-training statistics on long-term skill transfer remain scarce, with recent crossover studies showing mixed results on the persistence of </w:t>
      </w:r>
      <w:r>
        <w:rPr>
          <w:rFonts w:hint="eastAsia" w:ascii="Times New Roman" w:hAnsi="Times New Roman" w:eastAsia="宋体" w:cs="Times New Roman"/>
          <w:snapToGrid/>
          <w:color w:val="auto"/>
          <w:sz w:val="20"/>
          <w:szCs w:val="20"/>
          <w:lang w:val="zh-CN" w:eastAsia="zh-CN"/>
        </w:rPr>
        <w:t>Gen</w:t>
      </w:r>
      <w:r>
        <w:rPr>
          <w:rFonts w:hint="default" w:ascii="Times New Roman" w:hAnsi="Times New Roman" w:eastAsia="宋体" w:cs="Times New Roman"/>
          <w:snapToGrid/>
          <w:color w:val="auto"/>
          <w:sz w:val="20"/>
          <w:szCs w:val="20"/>
          <w:lang w:val="zh-CN" w:eastAsia="zh-CN"/>
        </w:rPr>
        <w:t>AI-supported ideation skills</w:t>
      </w:r>
      <w:r>
        <w:rPr>
          <w:rFonts w:hint="default" w:ascii="Times New Roman" w:hAnsi="Times New Roman" w:eastAsia="宋体" w:cs="Times New Roman"/>
          <w:snapToGrid/>
          <w:color w:val="auto"/>
          <w:sz w:val="20"/>
          <w:szCs w:val="20"/>
          <w:lang w:val="zh-CN" w:eastAsia="zh-CN"/>
        </w:rPr>
        <w:fldChar w:fldCharType="begin"/>
      </w:r>
      <w:r>
        <w:rPr>
          <w:rFonts w:hint="eastAsia" w:ascii="Times New Roman" w:hAnsi="Times New Roman" w:eastAsia="宋体" w:cs="Times New Roman"/>
          <w:snapToGrid/>
          <w:color w:val="auto"/>
          <w:sz w:val="20"/>
          <w:szCs w:val="20"/>
          <w:lang w:val="zh-CN" w:eastAsia="zh-CN"/>
        </w:rPr>
        <w:instrText xml:space="preserve"> ADDIN ZOTERO_ITEM CSL_CITATION {"citationID":"q3U6YEyW","properties":{"formattedCitation":"&lt;sup&gt;32&lt;/sup&gt;","plainCitation":"32","noteIndex":0},"citationItems":[{"id":1138,"uris":["http://zotero.org/groups/6329368/items/EHNWJTEY"],"itemData":{"id":1138,"type":"paper-conference","abstract":"Among creative professionals, Generative Artificial Intelligence (GenAI) has sparked excitement over its capabilities and fear over unanticipated consequences. How does GenAI impact User Experience Design (UXD) practice, and are fears warranted? We interviewed 20 UX Designers, with diverse experience and across companies (startups to large enterprises). We probed them to characterize their practices, and sample their attitudes, concerns, and expectations. We found that experienced designers are confident in their originality, creativity, and empathic skills, and find GenAI’s role as assistive. They emphasized the unique human factors of “enjoyment” and “agency”, where humans remain the arbiters of “AI alignment’’. However, skill degradation, job replacement, and creativity exhaustion can adversely impact junior designers. We discuss implications for human-GenAI collaboration, specifically copyright and ownership, human creativity and agency, and AI literacy and access. Through the lens of responsible and participatory AI, we contribute a deeper understanding of GenAI fears and opportunities for UXD.","collection-title":"CHI '24","container-title":"Proceedings of the 2024 CHI Conference on Human Factors in Computing Systems","DOI":"10.1145/3613904.3642114","ISBN":"979-8-4007-0330-0","page":"1–18","publisher":"Association for Computing Machinery","publisher-place":"New York, NY, USA","source":"ACM Digital Library","title":"User Experience Design Professionals’ Perceptions of Generative Artificial Intelligence","URL":"https://doi.org/10.1145/3613904.3642114","author":[{"family":"Li","given":"Jie"},{"family":"Cao","given":"Hancheng"},{"family":"Lin","given":"Laura"},{"family":"Hou","given":"Youyang"},{"family":"Zhu","given":"Ruihao"},{"family":"El Ali","given":"Abdallah"}],"accessed":{"date-parts":[["2025",12,21]]},"issued":{"date-parts":[["2024",5,11]]}}}],"schema":"https://github.com/citation-style-language/schema/raw/master/csl-citation.json"} </w:instrText>
      </w:r>
      <w:r>
        <w:rPr>
          <w:rFonts w:hint="default" w:ascii="Times New Roman" w:hAnsi="Times New Roman" w:eastAsia="宋体" w:cs="Times New Roman"/>
          <w:snapToGrid/>
          <w:color w:val="auto"/>
          <w:sz w:val="20"/>
          <w:szCs w:val="20"/>
          <w:lang w:val="zh-CN" w:eastAsia="zh-CN"/>
        </w:rPr>
        <w:fldChar w:fldCharType="separate"/>
      </w:r>
      <w:r>
        <w:rPr>
          <w:rFonts w:hint="eastAsia" w:ascii="Times New Roman" w:hAnsi="Times New Roman" w:eastAsia="宋体" w:cs="Times New Roman"/>
          <w:snapToGrid/>
          <w:color w:val="auto"/>
          <w:sz w:val="20"/>
          <w:szCs w:val="20"/>
          <w:vertAlign w:val="superscript"/>
          <w:lang w:val="zh-CN" w:eastAsia="zh-CN"/>
        </w:rPr>
        <w:t>32</w:t>
      </w:r>
      <w:r>
        <w:rPr>
          <w:rFonts w:hint="default" w:ascii="Times New Roman" w:hAnsi="Times New Roman" w:eastAsia="宋体" w:cs="Times New Roman"/>
          <w:snapToGrid/>
          <w:color w:val="auto"/>
          <w:sz w:val="20"/>
          <w:szCs w:val="20"/>
          <w:lang w:val="zh-CN" w:eastAsia="zh-CN"/>
        </w:rPr>
        <w:fldChar w:fldCharType="end"/>
      </w:r>
      <w:r>
        <w:rPr>
          <w:rFonts w:hint="eastAsia" w:ascii="Times New Roman" w:hAnsi="Times New Roman" w:eastAsia="宋体" w:cs="Times New Roman"/>
          <w:snapToGrid/>
          <w:color w:val="auto"/>
          <w:sz w:val="20"/>
          <w:szCs w:val="20"/>
          <w:lang w:val="zh-CN" w:eastAsia="zh-CN"/>
        </w:rPr>
        <w:t>. The experimental tasks are controlled (3 studies, 15%), which permits comparison of GenAI-assisted workflow and traditional workflow to draw causal conclusions, but highly structured tasks might not represent practice. Self-directed GenAI usage is also reflected in naturalistic observations (15, 3 studies), where the authors report the processes of students acquiring their workflows and preferences regarding the tools</w:t>
      </w:r>
      <w:r>
        <w:rPr>
          <w:rFonts w:hint="eastAsia" w:ascii="Times New Roman" w:hAnsi="Times New Roman" w:eastAsia="宋体" w:cs="Times New Roman"/>
          <w:snapToGrid/>
          <w:color w:val="auto"/>
          <w:sz w:val="20"/>
          <w:szCs w:val="20"/>
          <w:lang w:val="zh-CN" w:eastAsia="zh-CN"/>
        </w:rPr>
        <w:fldChar w:fldCharType="begin"/>
      </w:r>
      <w:r>
        <w:rPr>
          <w:rFonts w:hint="eastAsia" w:ascii="Times New Roman" w:hAnsi="Times New Roman" w:eastAsia="宋体" w:cs="Times New Roman"/>
          <w:snapToGrid/>
          <w:color w:val="auto"/>
          <w:sz w:val="20"/>
          <w:szCs w:val="20"/>
          <w:lang w:val="zh-CN" w:eastAsia="zh-CN"/>
        </w:rPr>
        <w:instrText xml:space="preserve"> ADDIN ZOTERO_ITEM CSL_CITATION {"citationID":"XcS4eCM1","properties":{"formattedCitation":"&lt;sup&gt;31&lt;/sup&gt;","plainCitation":"31","noteIndex":0},"citationItems":[{"id":1254,"uris":["http://zotero.org/groups/6329368/items/TQHFP9IJ"],"itemData":{"id":1254,"type":"article-journal","abstract":"The introduction of generative AI (GenAI) tools has created a significant disruption in the design professions as they become increasingly integrated into creative processes. Whilst there is an abundance of case-specific, applied studies testing how to integrate AI-supported tools into design workflows, little work has holistically examined their role and impact on the industrial design profession. This paper investigates human–AI co-creation, focussing specifically on the experiences and perspectives of industrial designers through a series of workshops and focus group discussions. In these workshops, industrial designers reflected on incorporating GenAI into their workflows via hands-on experiences with selected AI-based image generators. We conducted five workshops and focus group discussions with 32 industrial designers and design students, providing valuable insights into how the role and impact of GenAI for product design is perceived. Thematic analysis of the data collected from the discussions was triangulated with observation notes and AI-generated works collected during the workshop, offering a comprehensive view of the performance of said tools, their pragmatic uses, impacts on design performance and creativity, and anticipated effects on professional practise. Through designers’ elicited motivations and concerns, we outline the perceived professional opportunities, barriers, and risks of image generation. Drawing on these insights, we map the factors influencing GenAI adoption in the industrial design profession, framing the interplay of communication, automation, and designerly autonomy, and offer recommendations for the development of designer-friendly GenAI systems.","container-title":"AI &amp; SOCIETY","DOI":"10.1007/s00146-025-02504-6","ISSN":"1435-5655","journalAbbreviation":"AI &amp; Soc","language":"en","source":"Springer Link","title":"Designer experiences and perspectives on the role of generative AI in industrial design","URL":"https://doi.org/10.1007/s00146-025-02504-6","author":[{"family":"Süner-Pla-Cerdà","given":"Sedef"},{"family":"Şen","given":"Güzin"},{"family":"Kumbasar","given":"Ecem"},{"family":"Şahin","given":"Batuhan"},{"family":"Ünlü","given":"Canan Emine"}],"accessed":{"date-parts":[["2026",1,8]]},"issued":{"date-parts":[["2025",7,24]]}}}],"schema":"https://github.com/citation-style-language/schema/raw/master/csl-citation.json"} </w:instrText>
      </w:r>
      <w:r>
        <w:rPr>
          <w:rFonts w:hint="eastAsia" w:ascii="Times New Roman" w:hAnsi="Times New Roman" w:eastAsia="宋体" w:cs="Times New Roman"/>
          <w:snapToGrid/>
          <w:color w:val="auto"/>
          <w:sz w:val="20"/>
          <w:szCs w:val="20"/>
          <w:lang w:val="zh-CN" w:eastAsia="zh-CN"/>
        </w:rPr>
        <w:fldChar w:fldCharType="separate"/>
      </w:r>
      <w:r>
        <w:rPr>
          <w:rFonts w:hint="eastAsia" w:ascii="Times New Roman" w:hAnsi="Times New Roman" w:eastAsia="宋体" w:cs="Times New Roman"/>
          <w:snapToGrid/>
          <w:color w:val="auto"/>
          <w:sz w:val="20"/>
          <w:szCs w:val="20"/>
          <w:vertAlign w:val="superscript"/>
          <w:lang w:val="zh-CN" w:eastAsia="zh-CN"/>
        </w:rPr>
        <w:t>31</w:t>
      </w:r>
      <w:r>
        <w:rPr>
          <w:rFonts w:hint="eastAsia" w:ascii="Times New Roman" w:hAnsi="Times New Roman" w:eastAsia="宋体" w:cs="Times New Roman"/>
          <w:snapToGrid/>
          <w:color w:val="auto"/>
          <w:sz w:val="20"/>
          <w:szCs w:val="20"/>
          <w:lang w:val="zh-CN" w:eastAsia="zh-CN"/>
        </w:rPr>
        <w:fldChar w:fldCharType="end"/>
      </w:r>
      <w:r>
        <w:rPr>
          <w:rFonts w:hint="eastAsia" w:ascii="Times New Roman" w:hAnsi="Times New Roman" w:eastAsia="宋体" w:cs="Times New Roman"/>
          <w:snapToGrid/>
          <w:color w:val="auto"/>
          <w:sz w:val="20"/>
          <w:szCs w:val="20"/>
          <w:lang w:val="zh-CN" w:eastAsia="zh-CN"/>
        </w:rPr>
        <w:t>. Two of the studies (10%), however, utilise surveys only to measure attitude toward GenAI with no actual tool use</w:t>
      </w:r>
      <w:r>
        <w:rPr>
          <w:rFonts w:hint="eastAsia" w:ascii="Times New Roman" w:hAnsi="Times New Roman" w:eastAsia="宋体" w:cs="Times New Roman"/>
          <w:snapToGrid/>
          <w:color w:val="auto"/>
          <w:sz w:val="20"/>
          <w:szCs w:val="20"/>
          <w:lang w:val="zh-CN" w:eastAsia="zh-CN"/>
        </w:rPr>
        <w:fldChar w:fldCharType="begin"/>
      </w:r>
      <w:r>
        <w:rPr>
          <w:rFonts w:hint="eastAsia" w:ascii="Times New Roman" w:hAnsi="Times New Roman" w:eastAsia="宋体" w:cs="Times New Roman"/>
          <w:snapToGrid/>
          <w:color w:val="auto"/>
          <w:sz w:val="20"/>
          <w:szCs w:val="20"/>
          <w:lang w:val="zh-CN" w:eastAsia="zh-CN"/>
        </w:rPr>
        <w:instrText xml:space="preserve"> ADDIN ZOTERO_ITEM CSL_CITATION {"citationID":"HoaxvEse","properties":{"formattedCitation":"&lt;sup&gt;23&lt;/sup&gt;","plainCitation":"23","noteIndex":0},"citationItems":[{"id":767,"uris":["http://zotero.org/groups/6329368/items/N8T5VGY6"],"itemData":{"id":767,"type":"article-journal","abstract":"BackgroundAcademic misconduct among students is common, particularly now that AI tools are widely available. Students with dark personality traits may be more likely to engage in misconduct. Drawing on social cognitive theory, this study examines how the dark personality traits of materialism, narcissism, psychopathy, and Machiavellianism are associated with academic dishonesty, anxiety, and procrastination, and, in turn, frustration, negative thinking and generative AI use habits.MethodSelf-reported data from 504 Chinese university art students were analyzed using structural equation modeling.ResultsResults showed that dark personality traits were significantly associated with academic dishonesty, anxiety, and procrastination, and that these markers of academic misbehavior were linked to increased frustration, negative thinking, and generative AI use.ConclusionThe findings highlight how personality traits are related to problematic academic behaviors and psychological difficulties. Academic institutions should provide appropriate training and psychological support to counter academic dishonesty and ensure students understand the value of academic ethics.","archive_location":"WOS:001522899700043","container-title":"BMC PSYCHOLOGY","DOI":"10.1186/s40359-025-02949-w","ISSN":"2050-7283","issue":"1","language":"English","title":"Dark personality traits are associated with academic misconduct, frustration, negative thinking, and generative AI use habits: the case of Sichuan art universities","volume":"13","author":[{"family":"Song","given":"JY"},{"family":"Liu","given":"SY"}],"issued":{"date-parts":[["2025",7,1]]}}}],"schema":"https://github.com/citation-style-language/schema/raw/master/csl-citation.json"} </w:instrText>
      </w:r>
      <w:r>
        <w:rPr>
          <w:rFonts w:hint="eastAsia" w:ascii="Times New Roman" w:hAnsi="Times New Roman" w:eastAsia="宋体" w:cs="Times New Roman"/>
          <w:snapToGrid/>
          <w:color w:val="auto"/>
          <w:sz w:val="20"/>
          <w:szCs w:val="20"/>
          <w:lang w:val="zh-CN" w:eastAsia="zh-CN"/>
        </w:rPr>
        <w:fldChar w:fldCharType="separate"/>
      </w:r>
      <w:r>
        <w:rPr>
          <w:rFonts w:hint="eastAsia" w:ascii="Times New Roman" w:hAnsi="Times New Roman" w:eastAsia="宋体" w:cs="Times New Roman"/>
          <w:snapToGrid/>
          <w:color w:val="auto"/>
          <w:sz w:val="20"/>
          <w:szCs w:val="20"/>
          <w:vertAlign w:val="superscript"/>
          <w:lang w:val="zh-CN" w:eastAsia="zh-CN"/>
        </w:rPr>
        <w:t>23</w:t>
      </w:r>
      <w:r>
        <w:rPr>
          <w:rFonts w:hint="eastAsia" w:ascii="Times New Roman" w:hAnsi="Times New Roman" w:eastAsia="宋体" w:cs="Times New Roman"/>
          <w:snapToGrid/>
          <w:color w:val="auto"/>
          <w:sz w:val="20"/>
          <w:szCs w:val="20"/>
          <w:lang w:val="zh-CN" w:eastAsia="zh-CN"/>
        </w:rPr>
        <w:fldChar w:fldCharType="end"/>
      </w:r>
      <w:r>
        <w:rPr>
          <w:rFonts w:hint="eastAsia" w:ascii="Times New Roman" w:hAnsi="Times New Roman" w:eastAsia="宋体" w:cs="Times New Roman"/>
          <w:snapToGrid/>
          <w:color w:val="auto"/>
          <w:sz w:val="20"/>
          <w:szCs w:val="20"/>
          <w:lang w:val="zh-CN" w:eastAsia="zh-CN"/>
        </w:rPr>
        <w:t>, and one study (5%) reports a 72-hour advertising competition at high pressure, simulating the conditions of a professional environment</w:t>
      </w:r>
      <w:r>
        <w:rPr>
          <w:rFonts w:hint="eastAsia" w:ascii="Times New Roman" w:hAnsi="Times New Roman" w:eastAsia="宋体" w:cs="Times New Roman"/>
          <w:snapToGrid/>
          <w:color w:val="auto"/>
          <w:sz w:val="20"/>
          <w:szCs w:val="20"/>
          <w:lang w:val="zh-CN" w:eastAsia="zh-CN"/>
        </w:rPr>
        <w:fldChar w:fldCharType="begin"/>
      </w:r>
      <w:r>
        <w:rPr>
          <w:rFonts w:hint="eastAsia" w:ascii="Times New Roman" w:hAnsi="Times New Roman" w:eastAsia="宋体" w:cs="Times New Roman"/>
          <w:snapToGrid/>
          <w:color w:val="auto"/>
          <w:sz w:val="20"/>
          <w:szCs w:val="20"/>
          <w:lang w:val="zh-CN" w:eastAsia="zh-CN"/>
        </w:rPr>
        <w:instrText xml:space="preserve"> ADDIN ZOTERO_ITEM CSL_CITATION {"citationID":"P2ekFofd","properties":{"formattedCitation":"&lt;sup&gt;27&lt;/sup&gt;","plainCitation":"27","noteIndex":0},"citationItems":[{"id":817,"uris":["http://zotero.org/groups/6329368/items/V3BFVTRY"],"itemData":{"id":817,"type":"article-journal","abstract":"Interest in using generative artificial intelligence (GenAI) in design education is growing, yet its impact on students' creative processes and motivation remains underexplored, especially in advertising design. This qualitative exploratory case study examined how GenAI tools influenced 12 undergraduate graphic and multimedia design students during a 72-hour advertising challenge with GenAI at a private Malaysian university. Grounded in sociocultural theory's zone of proximal development and self-determination theory, the study explored how GenAI functioned as an instructional support. Data were collected through three focus group discussions and analysed thematically. Findings suggest that GenAI enhanced ideation, visualisation and collaboration, supporting students' sense of competence and relatedness. However, concerns emerged around creative autonomy and dependence on AI. The study positions GenAI as a conditional more knowledgeable other and highlights the importance of pedagogical strategies that foster critical reflection and ethical use. These insights contribute to the emerging discourse on AI in design education by connecting theory with empirical evidence and offering practical implications for curriculum development.","archive_location":"WOS:001609419600006","container-title":"AUSTRALASIAN JOURNAL OF EDUCATIONAL TECHNOLOGY","ISSN":"1449-3098","issue":"3","language":"English","page":"102-118","title":"72-hour advertising challenge with generative AI in an undergraduate graphic design module: A case study","volume":"41","author":[{"family":"Wong","given":"SC"},{"family":"Tan","given":"HW"},{"family":"Ooi","given":"KH"}],"issued":{"date-parts":[["2025"]]}}}],"schema":"https://github.com/citation-style-language/schema/raw/master/csl-citation.json"} </w:instrText>
      </w:r>
      <w:r>
        <w:rPr>
          <w:rFonts w:hint="eastAsia" w:ascii="Times New Roman" w:hAnsi="Times New Roman" w:eastAsia="宋体" w:cs="Times New Roman"/>
          <w:snapToGrid/>
          <w:color w:val="auto"/>
          <w:sz w:val="20"/>
          <w:szCs w:val="20"/>
          <w:lang w:val="zh-CN" w:eastAsia="zh-CN"/>
        </w:rPr>
        <w:fldChar w:fldCharType="separate"/>
      </w:r>
      <w:r>
        <w:rPr>
          <w:rFonts w:hint="eastAsia" w:ascii="Times New Roman" w:hAnsi="Times New Roman" w:eastAsia="宋体" w:cs="Times New Roman"/>
          <w:snapToGrid/>
          <w:color w:val="auto"/>
          <w:sz w:val="20"/>
          <w:szCs w:val="20"/>
          <w:vertAlign w:val="superscript"/>
          <w:lang w:val="zh-CN" w:eastAsia="zh-CN"/>
        </w:rPr>
        <w:t>27</w:t>
      </w:r>
      <w:r>
        <w:rPr>
          <w:rFonts w:hint="eastAsia" w:ascii="Times New Roman" w:hAnsi="Times New Roman" w:eastAsia="宋体" w:cs="Times New Roman"/>
          <w:snapToGrid/>
          <w:color w:val="auto"/>
          <w:sz w:val="20"/>
          <w:szCs w:val="20"/>
          <w:lang w:val="zh-CN" w:eastAsia="zh-CN"/>
        </w:rPr>
        <w:fldChar w:fldCharType="end"/>
      </w:r>
      <w:r>
        <w:rPr>
          <w:rFonts w:hint="eastAsia" w:ascii="Times New Roman" w:hAnsi="Times New Roman" w:eastAsia="宋体" w:cs="Times New Roman"/>
          <w:snapToGrid/>
          <w:color w:val="auto"/>
          <w:sz w:val="20"/>
          <w:szCs w:val="20"/>
          <w:lang w:val="zh-CN" w:eastAsia="zh-CN"/>
        </w:rPr>
        <w:t>.</w:t>
      </w:r>
    </w:p>
    <w:p w14:paraId="78CBC4ED">
      <w:pPr>
        <w:pStyle w:val="6"/>
        <w:snapToGrid/>
        <w:spacing w:before="55" w:line="480" w:lineRule="auto"/>
        <w:contextualSpacing/>
        <w:jc w:val="both"/>
        <w:outlineLvl w:val="2"/>
        <w:rPr>
          <w:rFonts w:ascii="Times New Roman" w:hAnsi="Times New Roman" w:cs="Times New Roman"/>
          <w:b/>
          <w:bCs/>
          <w:spacing w:val="4"/>
          <w:position w:val="2"/>
          <w:sz w:val="24"/>
          <w:szCs w:val="24"/>
          <w:lang w:val="zh-CN" w:eastAsia="zh-CN"/>
        </w:rPr>
      </w:pPr>
      <w:r>
        <w:rPr>
          <w:rFonts w:ascii="Times New Roman" w:hAnsi="Times New Roman" w:eastAsia="宋体" w:cs="Times New Roman"/>
          <w:b/>
          <w:bCs/>
          <w:snapToGrid/>
          <w:sz w:val="20"/>
          <w:szCs w:val="20"/>
          <w:lang w:val="zh-CN" w:eastAsia="zh-CN" w:bidi="ar-SA"/>
        </w:rPr>
        <w:t>Geographic Characteristics, Disciplinary Characteristics, and Participant Characteristics</w:t>
      </w:r>
    </w:p>
    <w:p w14:paraId="4E8467DC">
      <w:pPr>
        <w:kinsoku/>
        <w:adjustRightInd/>
        <w:snapToGrid/>
        <w:jc w:val="both"/>
        <w:textAlignment w:val="auto"/>
        <w:outlineLvl w:val="1"/>
        <w:rPr>
          <w:rFonts w:hint="eastAsia" w:ascii="Times New Roman" w:hAnsi="Times New Roman" w:eastAsia="宋体" w:cs="Times New Roman"/>
          <w:snapToGrid/>
          <w:color w:val="auto"/>
          <w:sz w:val="20"/>
          <w:szCs w:val="20"/>
          <w:lang w:val="zh-CN" w:eastAsia="zh-CN"/>
        </w:rPr>
      </w:pPr>
      <w:r>
        <w:rPr>
          <w:rFonts w:hint="eastAsia" w:ascii="Times New Roman" w:hAnsi="Times New Roman" w:eastAsia="宋体" w:cs="Times New Roman"/>
          <w:snapToGrid/>
          <w:color w:val="auto"/>
          <w:sz w:val="20"/>
          <w:szCs w:val="20"/>
          <w:lang w:val="zh-CN" w:eastAsia="zh-CN"/>
        </w:rPr>
        <w:t>Fifty (50</w:t>
      </w:r>
      <w:r>
        <w:rPr>
          <w:rFonts w:hint="eastAsia" w:ascii="Times New Roman" w:hAnsi="Times New Roman" w:eastAsia="宋体" w:cs="Times New Roman"/>
          <w:snapToGrid/>
          <w:color w:val="auto"/>
          <w:sz w:val="20"/>
          <w:szCs w:val="20"/>
        </w:rPr>
        <w:t>%</w:t>
      </w:r>
      <w:r>
        <w:rPr>
          <w:rFonts w:hint="eastAsia" w:ascii="Times New Roman" w:hAnsi="Times New Roman" w:eastAsia="宋体" w:cs="Times New Roman"/>
          <w:snapToGrid/>
          <w:color w:val="auto"/>
          <w:sz w:val="20"/>
          <w:szCs w:val="20"/>
          <w:lang w:val="zh-CN" w:eastAsia="zh-CN"/>
        </w:rPr>
        <w:t>) of the studies are based in East Asia (10 studies, 50%), six (30</w:t>
      </w:r>
      <w:r>
        <w:rPr>
          <w:rFonts w:hint="eastAsia" w:ascii="Times New Roman" w:hAnsi="Times New Roman" w:eastAsia="宋体" w:cs="Times New Roman"/>
          <w:snapToGrid/>
          <w:color w:val="auto"/>
          <w:sz w:val="20"/>
          <w:szCs w:val="20"/>
        </w:rPr>
        <w:t>%</w:t>
      </w:r>
      <w:r>
        <w:rPr>
          <w:rFonts w:hint="eastAsia" w:ascii="Times New Roman" w:hAnsi="Times New Roman" w:eastAsia="宋体" w:cs="Times New Roman"/>
          <w:snapToGrid/>
          <w:color w:val="auto"/>
          <w:sz w:val="20"/>
          <w:szCs w:val="20"/>
          <w:lang w:val="zh-CN" w:eastAsia="zh-CN"/>
        </w:rPr>
        <w:t>) are based in the Western countries and cross-regional (Australia), and four (20</w:t>
      </w:r>
      <w:r>
        <w:rPr>
          <w:rFonts w:hint="eastAsia" w:ascii="Times New Roman" w:hAnsi="Times New Roman" w:eastAsia="宋体" w:cs="Times New Roman"/>
          <w:snapToGrid/>
          <w:color w:val="auto"/>
          <w:sz w:val="20"/>
          <w:szCs w:val="20"/>
        </w:rPr>
        <w:t>%</w:t>
      </w:r>
      <w:r>
        <w:rPr>
          <w:rFonts w:hint="eastAsia" w:ascii="Times New Roman" w:hAnsi="Times New Roman" w:eastAsia="宋体" w:cs="Times New Roman"/>
          <w:snapToGrid/>
          <w:color w:val="auto"/>
          <w:sz w:val="20"/>
          <w:szCs w:val="20"/>
          <w:lang w:val="zh-CN" w:eastAsia="zh-CN"/>
        </w:rPr>
        <w:t>) are based in other regions or cross-regional collaborations. Visual and spatial design disciplines (industrial design, architecture, graphic design) represent 45% of the studies, mixed/interdisciplinary situations 40% and pure arts 10%, with one study (5</w:t>
      </w:r>
      <w:r>
        <w:rPr>
          <w:rFonts w:hint="eastAsia" w:ascii="Times New Roman" w:hAnsi="Times New Roman" w:eastAsia="宋体" w:cs="Times New Roman"/>
          <w:snapToGrid/>
          <w:color w:val="auto"/>
          <w:sz w:val="20"/>
          <w:szCs w:val="20"/>
        </w:rPr>
        <w:t>%</w:t>
      </w:r>
      <w:r>
        <w:rPr>
          <w:rFonts w:hint="eastAsia" w:ascii="Times New Roman" w:hAnsi="Times New Roman" w:eastAsia="宋体" w:cs="Times New Roman"/>
          <w:snapToGrid/>
          <w:color w:val="auto"/>
          <w:sz w:val="20"/>
          <w:szCs w:val="20"/>
          <w:lang w:val="zh-CN" w:eastAsia="zh-CN"/>
        </w:rPr>
        <w:t>) considering general creative cognition. The majority of the participants are undergraduates (14 studies, 70%), and the rest contain graduate students, early-career professionals, or mixed samples. In terms of methodology, there is a balanced spread of studies in terms of quantitative (6, 30%) and mixed-methods (6, 30%) designs, four qualitative (20) and four exploratory/conceptual designs (20)</w:t>
      </w:r>
      <w:r>
        <w:rPr>
          <w:rFonts w:hint="eastAsia" w:ascii="Times New Roman" w:hAnsi="Times New Roman" w:eastAsia="宋体" w:cs="Times New Roman"/>
          <w:snapToGrid/>
          <w:color w:val="auto"/>
          <w:sz w:val="20"/>
          <w:szCs w:val="20"/>
          <w:lang w:val="zh-CN" w:eastAsia="zh-CN"/>
        </w:rPr>
        <w:fldChar w:fldCharType="begin"/>
      </w:r>
      <w:r>
        <w:rPr>
          <w:rFonts w:hint="eastAsia" w:ascii="Times New Roman" w:hAnsi="Times New Roman" w:eastAsia="宋体" w:cs="Times New Roman"/>
          <w:snapToGrid/>
          <w:color w:val="auto"/>
          <w:sz w:val="20"/>
          <w:szCs w:val="20"/>
          <w:lang w:val="zh-CN" w:eastAsia="zh-CN"/>
        </w:rPr>
        <w:instrText xml:space="preserve"> ADDIN ZOTERO_ITEM CSL_CITATION {"citationID":"0J16l692","properties":{"formattedCitation":"&lt;sup&gt;27,28&lt;/sup&gt;","plainCitation":"27,28","noteIndex":0},"citationItems":[{"id":817,"uris":["http://zotero.org/groups/6329368/items/V3BFVTRY"],"itemData":{"id":817,"type":"article-journal","abstract":"Interest in using generative artificial intelligence (GenAI) in design education is growing, yet its impact on students' creative processes and motivation remains underexplored, especially in advertising design. This qualitative exploratory case study examined how GenAI tools influenced 12 undergraduate graphic and multimedia design students during a 72-hour advertising challenge with GenAI at a private Malaysian university. Grounded in sociocultural theory's zone of proximal development and self-determination theory, the study explored how GenAI functioned as an instructional support. Data were collected through three focus group discussions and analysed thematically. Findings suggest that GenAI enhanced ideation, visualisation and collaboration, supporting students' sense of competence and relatedness. However, concerns emerged around creative autonomy and dependence on AI. The study positions GenAI as a conditional more knowledgeable other and highlights the importance of pedagogical strategies that foster critical reflection and ethical use. These insights contribute to the emerging discourse on AI in design education by connecting theory with empirical evidence and offering practical implications for curriculum development.","archive_location":"WOS:001609419600006","container-title":"AUSTRALASIAN JOURNAL OF EDUCATIONAL TECHNOLOGY","ISSN":"1449-3098","issue":"3","language":"English","page":"102-118","title":"72-hour advertising challenge with generative AI in an undergraduate graphic design module: A case study","volume":"41","author":[{"family":"Wong","given":"SC"},{"family":"Tan","given":"HW"},{"family":"Ooi","given":"KH"}],"issued":{"date-parts":[["2025"]]}},"label":"page"},{"id":1250,"uris":["http://zotero.org/groups/6329368/items/Q425HVJJ"],"itemData":{"id":1250,"type":"article-journal","abstract":"This study focuses on Generative Artificial Intelligence (AI) and its transformative impact on design ideation. Generative AI, recognized for its ability to produce a wide array of design alternatives, has become an important tool in design, reshaping traditional methodologies. It facilitates the generation of novel and diverse design forms, acting as a co-creator in the design process. This technology, through machine learning and pattern recognition, analyzes extensive design datasets, enabling the production of innovative solutions. The utilization of generative AI extends beyond replicating AI-provided solutions; it aids in developing and influencing novel concepts, thus fostering original design solutions. This aligns with the concept of ‘reflective practice’ in design, where designers iteratively refine concepts through a dialogue between thought and action. The study employed a quasi-experimental design with 40 design students, randomly assigned to two groups of 20 each. Conducted in two phases, each phase involved a distinct urban furniture design task. In Phase 1, Group A was provided with a text-to-image generating AI tool, while Group B was not. In Phase 2, both groups undertook a similar task without AI assistance. This design exercise allowed for examining the influence of AI on creativity and cognitive load. Design outcomes from both tasks were anonymized and evaluated by experienced professionals using the Creative Product Semantic Scale (CPSS), which measures Novelty, Resolution, and Elaboration and Synthesis. Additionally, the NASA Task Load Index (NASA TLX) questionnaire assessed cognitive load aspects such as mental demand and effort. Findings suggest that generative AI significantly influences the creative design process, enhancing the quality of design outcomes and reducing cognitive load. The AI group demonstrated better performance in both tasks, indicating the impact of AI tools on design skills. This study underscores the potential of AI tools in design education, balancing cognitive load management with creativity enhancement.","container-title":"International Journal of Architectural Computing","DOI":"10.1177/14780771241254637","ISSN":"1478-0771","issue":"1","language":"EN","page":"122-136","publisher":"SAGE Publications","source":"SAGE Journals","title":"Can artificial intelligence support creativity in early design processes?","volume":"23","author":[{"family":"Chandrasekera","given":"Tilanka"},{"family":"Hosseini","given":"Zahrasadat"},{"family":"Perera","given":"Ubhaya"}],"issued":{"date-parts":[["2025",3,1]]}},"label":"page"}],"schema":"https://github.com/citation-style-language/schema/raw/master/csl-citation.json"} </w:instrText>
      </w:r>
      <w:r>
        <w:rPr>
          <w:rFonts w:hint="eastAsia" w:ascii="Times New Roman" w:hAnsi="Times New Roman" w:eastAsia="宋体" w:cs="Times New Roman"/>
          <w:snapToGrid/>
          <w:color w:val="auto"/>
          <w:sz w:val="20"/>
          <w:szCs w:val="20"/>
          <w:lang w:val="zh-CN" w:eastAsia="zh-CN"/>
        </w:rPr>
        <w:fldChar w:fldCharType="separate"/>
      </w:r>
      <w:r>
        <w:rPr>
          <w:rFonts w:hint="eastAsia" w:ascii="Times New Roman" w:hAnsi="Times New Roman" w:eastAsia="宋体" w:cs="Times New Roman"/>
          <w:snapToGrid/>
          <w:color w:val="auto"/>
          <w:sz w:val="20"/>
          <w:szCs w:val="20"/>
          <w:vertAlign w:val="superscript"/>
          <w:lang w:val="zh-CN" w:eastAsia="zh-CN"/>
        </w:rPr>
        <w:t>27,28</w:t>
      </w:r>
      <w:r>
        <w:rPr>
          <w:rFonts w:hint="eastAsia" w:ascii="Times New Roman" w:hAnsi="Times New Roman" w:eastAsia="宋体" w:cs="Times New Roman"/>
          <w:snapToGrid/>
          <w:color w:val="auto"/>
          <w:sz w:val="20"/>
          <w:szCs w:val="20"/>
          <w:lang w:val="zh-CN" w:eastAsia="zh-CN"/>
        </w:rPr>
        <w:fldChar w:fldCharType="end"/>
      </w:r>
      <w:r>
        <w:rPr>
          <w:rFonts w:hint="eastAsia" w:ascii="Times New Roman" w:hAnsi="Times New Roman" w:eastAsia="宋体" w:cs="Times New Roman"/>
          <w:snapToGrid/>
          <w:color w:val="auto"/>
          <w:sz w:val="20"/>
          <w:szCs w:val="20"/>
          <w:lang w:val="zh-CN" w:eastAsia="zh-CN"/>
        </w:rPr>
        <w:t>.</w:t>
      </w:r>
    </w:p>
    <w:p w14:paraId="5DEC9089">
      <w:pPr>
        <w:pStyle w:val="6"/>
        <w:snapToGrid/>
        <w:spacing w:before="55" w:line="480" w:lineRule="auto"/>
        <w:contextualSpacing/>
        <w:jc w:val="both"/>
        <w:outlineLvl w:val="2"/>
        <w:rPr>
          <w:rFonts w:ascii="Times New Roman" w:hAnsi="Times New Roman" w:cs="Times New Roman"/>
          <w:b/>
          <w:bCs/>
          <w:spacing w:val="4"/>
          <w:position w:val="2"/>
          <w:sz w:val="24"/>
          <w:szCs w:val="24"/>
          <w:lang w:val="zh-CN" w:eastAsia="zh-CN"/>
        </w:rPr>
      </w:pPr>
      <w:r>
        <w:rPr>
          <w:rFonts w:ascii="Times New Roman" w:hAnsi="Times New Roman" w:eastAsia="宋体" w:cs="Times New Roman"/>
          <w:b/>
          <w:bCs/>
          <w:snapToGrid/>
          <w:sz w:val="20"/>
          <w:szCs w:val="20"/>
          <w:lang w:val="zh-CN" w:eastAsia="zh-CN" w:bidi="ar-SA"/>
        </w:rPr>
        <w:t>Patterns of Use Disciplines</w:t>
      </w:r>
    </w:p>
    <w:p w14:paraId="4DA0A7AF">
      <w:pPr>
        <w:kinsoku/>
        <w:adjustRightInd/>
        <w:snapToGrid/>
        <w:jc w:val="both"/>
        <w:textAlignment w:val="auto"/>
        <w:outlineLvl w:val="1"/>
        <w:rPr>
          <w:rFonts w:hint="eastAsia" w:ascii="Times New Roman" w:hAnsi="Times New Roman" w:eastAsia="宋体" w:cs="Times New Roman"/>
          <w:snapToGrid/>
          <w:color w:val="auto"/>
          <w:sz w:val="20"/>
          <w:szCs w:val="20"/>
          <w:lang w:val="zh-CN" w:eastAsia="zh-CN"/>
        </w:rPr>
      </w:pPr>
      <w:r>
        <w:rPr>
          <w:rFonts w:hint="eastAsia" w:ascii="Times New Roman" w:hAnsi="Times New Roman" w:eastAsia="宋体" w:cs="Times New Roman"/>
          <w:snapToGrid/>
          <w:color w:val="auto"/>
          <w:sz w:val="20"/>
          <w:szCs w:val="20"/>
          <w:lang w:val="zh-CN" w:eastAsia="zh-CN"/>
        </w:rPr>
        <w:t>The application of GenAI differs radically depending on the field. Text-to-image tools used in spatial visualisation, image exploration, and quick prototyping are also predominantly used by architecture and industrial design students, and they can assist in breaking the limitations of technical drawing but could circumvent the cognitive processing of buildability or material constraints</w:t>
      </w:r>
      <w:r>
        <w:rPr>
          <w:rFonts w:hint="eastAsia" w:ascii="Times New Roman" w:hAnsi="Times New Roman" w:eastAsia="宋体" w:cs="Times New Roman"/>
          <w:snapToGrid/>
          <w:color w:val="auto"/>
          <w:sz w:val="20"/>
          <w:szCs w:val="20"/>
          <w:lang w:val="zh-CN" w:eastAsia="zh-CN"/>
        </w:rPr>
        <w:fldChar w:fldCharType="begin"/>
      </w:r>
      <w:r>
        <w:rPr>
          <w:rFonts w:hint="eastAsia" w:ascii="Times New Roman" w:hAnsi="Times New Roman" w:eastAsia="宋体" w:cs="Times New Roman"/>
          <w:snapToGrid/>
          <w:color w:val="auto"/>
          <w:sz w:val="20"/>
          <w:szCs w:val="20"/>
          <w:lang w:val="zh-CN" w:eastAsia="zh-CN"/>
        </w:rPr>
        <w:instrText xml:space="preserve"> ADDIN ZOTERO_ITEM CSL_CITATION {"citationID":"aXDlXKxe","properties":{"formattedCitation":"&lt;sup&gt;28,31&lt;/sup&gt;","plainCitation":"28,31","noteIndex":0},"citationItems":[{"id":1250,"uris":["http://zotero.org/groups/6329368/items/Q425HVJJ"],"itemData":{"id":1250,"type":"article-journal","abstract":"This study focuses on Generative Artificial Intelligence (AI) and its transformative impact on design ideation. Generative AI, recognized for its ability to produce a wide array of design alternatives, has become an important tool in design, reshaping traditional methodologies. It facilitates the generation of novel and diverse design forms, acting as a co-creator in the design process. This technology, through machine learning and pattern recognition, analyzes extensive design datasets, enabling the production of innovative solutions. The utilization of generative AI extends beyond replicating AI-provided solutions; it aids in developing and influencing novel concepts, thus fostering original design solutions. This aligns with the concept of ‘reflective practice’ in design, where designers iteratively refine concepts through a dialogue between thought and action. The study employed a quasi-experimental design with 40 design students, randomly assigned to two groups of 20 each. Conducted in two phases, each phase involved a distinct urban furniture design task. In Phase 1, Group A was provided with a text-to-image generating AI tool, while Group B was not. In Phase 2, both groups undertook a similar task without AI assistance. This design exercise allowed for examining the influence of AI on creativity and cognitive load. Design outcomes from both tasks were anonymized and evaluated by experienced professionals using the Creative Product Semantic Scale (CPSS), which measures Novelty, Resolution, and Elaboration and Synthesis. Additionally, the NASA Task Load Index (NASA TLX) questionnaire assessed cognitive load aspects such as mental demand and effort. Findings suggest that generative AI significantly influences the creative design process, enhancing the quality of design outcomes and reducing cognitive load. The AI group demonstrated better performance in both tasks, indicating the impact of AI tools on design skills. This study underscores the potential of AI tools in design education, balancing cognitive load management with creativity enhancement.","container-title":"International Journal of Architectural Computing","DOI":"10.1177/14780771241254637","ISSN":"1478-0771","issue":"1","language":"EN","page":"122-136","publisher":"SAGE Publications","source":"SAGE Journals","title":"Can artificial intelligence support creativity in early design processes?","volume":"23","author":[{"family":"Chandrasekera","given":"Tilanka"},{"family":"Hosseini","given":"Zahrasadat"},{"family":"Perera","given":"Ubhaya"}],"issued":{"date-parts":[["2025",3,1]]}},"label":"page"},{"id":1254,"uris":["http://zotero.org/groups/6329368/items/TQHFP9IJ"],"itemData":{"id":1254,"type":"article-journal","abstract":"The introduction of generative AI (GenAI) tools has created a significant disruption in the design professions as they become increasingly integrated into creative processes. Whilst there is an abundance of case-specific, applied studies testing how to integrate AI-supported tools into design workflows, little work has holistically examined their role and impact on the industrial design profession. This paper investigates human–AI co-creation, focussing specifically on the experiences and perspectives of industrial designers through a series of workshops and focus group discussions. In these workshops, industrial designers reflected on incorporating GenAI into their workflows via hands-on experiences with selected AI-based image generators. We conducted five workshops and focus group discussions with 32 industrial designers and design students, providing valuable insights into how the role and impact of GenAI for product design is perceived. Thematic analysis of the data collected from the discussions was triangulated with observation notes and AI-generated works collected during the workshop, offering a comprehensive view of the performance of said tools, their pragmatic uses, impacts on design performance and creativity, and anticipated effects on professional practise. Through designers’ elicited motivations and concerns, we outline the perceived professional opportunities, barriers, and risks of image generation. Drawing on these insights, we map the factors influencing GenAI adoption in the industrial design profession, framing the interplay of communication, automation, and designerly autonomy, and offer recommendations for the development of designer-friendly GenAI systems.","container-title":"AI &amp; SOCIETY","DOI":"10.1007/s00146-025-02504-6","ISSN":"1435-5655","journalAbbreviation":"AI &amp; Soc","language":"en","source":"Springer Link","title":"Designer experiences and perspectives on the role of generative AI in industrial design","URL":"https://doi.org/10.1007/s00146-025-02504-6","author":[{"family":"Süner-Pla-Cerdà","given":"Sedef"},{"family":"Şen","given":"Güzin"},{"family":"Kumbasar","given":"Ecem"},{"family":"Şahin","given":"Batuhan"},{"family":"Ünlü","given":"Canan Emine"}],"accessed":{"date-parts":[["2026",1,8]]},"issued":{"date-parts":[["2025",7,24]]}},"label":"page"}],"schema":"https://github.com/citation-style-language/schema/raw/master/csl-citation.json"} </w:instrText>
      </w:r>
      <w:r>
        <w:rPr>
          <w:rFonts w:hint="eastAsia" w:ascii="Times New Roman" w:hAnsi="Times New Roman" w:eastAsia="宋体" w:cs="Times New Roman"/>
          <w:snapToGrid/>
          <w:color w:val="auto"/>
          <w:sz w:val="20"/>
          <w:szCs w:val="20"/>
          <w:lang w:val="zh-CN" w:eastAsia="zh-CN"/>
        </w:rPr>
        <w:fldChar w:fldCharType="separate"/>
      </w:r>
      <w:r>
        <w:rPr>
          <w:rFonts w:hint="eastAsia" w:ascii="Times New Roman" w:hAnsi="Times New Roman" w:eastAsia="宋体" w:cs="Times New Roman"/>
          <w:snapToGrid/>
          <w:color w:val="auto"/>
          <w:sz w:val="20"/>
          <w:szCs w:val="20"/>
          <w:vertAlign w:val="superscript"/>
          <w:lang w:val="zh-CN" w:eastAsia="zh-CN"/>
        </w:rPr>
        <w:t>28,31</w:t>
      </w:r>
      <w:r>
        <w:rPr>
          <w:rFonts w:hint="eastAsia" w:ascii="Times New Roman" w:hAnsi="Times New Roman" w:eastAsia="宋体" w:cs="Times New Roman"/>
          <w:snapToGrid/>
          <w:color w:val="auto"/>
          <w:sz w:val="20"/>
          <w:szCs w:val="20"/>
          <w:lang w:val="zh-CN" w:eastAsia="zh-CN"/>
        </w:rPr>
        <w:fldChar w:fldCharType="end"/>
      </w:r>
      <w:r>
        <w:rPr>
          <w:rFonts w:hint="eastAsia" w:ascii="Times New Roman" w:hAnsi="Times New Roman" w:eastAsia="宋体" w:cs="Times New Roman"/>
          <w:snapToGrid/>
          <w:color w:val="auto"/>
          <w:sz w:val="20"/>
          <w:szCs w:val="20"/>
          <w:lang w:val="zh-CN" w:eastAsia="zh-CN"/>
        </w:rPr>
        <w:t>. The graphic design and advertising students are likely to work with multi-tool flows, which will involve image generators with ChatGPT to write a copy or a mood board, balancing efficiency with the task of preserving creative coherence</w:t>
      </w:r>
      <w:r>
        <w:rPr>
          <w:rFonts w:hint="eastAsia" w:ascii="Times New Roman" w:hAnsi="Times New Roman" w:eastAsia="宋体" w:cs="Times New Roman"/>
          <w:snapToGrid/>
          <w:color w:val="auto"/>
          <w:sz w:val="20"/>
          <w:szCs w:val="20"/>
          <w:lang w:val="zh-CN" w:eastAsia="zh-CN"/>
        </w:rPr>
        <w:fldChar w:fldCharType="begin"/>
      </w:r>
      <w:r>
        <w:rPr>
          <w:rFonts w:hint="eastAsia" w:ascii="Times New Roman" w:hAnsi="Times New Roman" w:eastAsia="宋体" w:cs="Times New Roman"/>
          <w:snapToGrid/>
          <w:color w:val="auto"/>
          <w:sz w:val="20"/>
          <w:szCs w:val="20"/>
          <w:lang w:val="zh-CN" w:eastAsia="zh-CN"/>
        </w:rPr>
        <w:instrText xml:space="preserve"> ADDIN ZOTERO_ITEM CSL_CITATION {"citationID":"2t7gVjUQ","properties":{"formattedCitation":"&lt;sup&gt;27,30&lt;/sup&gt;","plainCitation":"27,30","noteIndex":0},"citationItems":[{"id":817,"uris":["http://zotero.org/groups/6329368/items/V3BFVTRY"],"itemData":{"id":817,"type":"article-journal","abstract":"Interest in using generative artificial intelligence (GenAI) in design education is growing, yet its impact on students' creative processes and motivation remains underexplored, especially in advertising design. This qualitative exploratory case study examined how GenAI tools influenced 12 undergraduate graphic and multimedia design students during a 72-hour advertising challenge with GenAI at a private Malaysian university. Grounded in sociocultural theory's zone of proximal development and self-determination theory, the study explored how GenAI functioned as an instructional support. Data were collected through three focus group discussions and analysed thematically. Findings suggest that GenAI enhanced ideation, visualisation and collaboration, supporting students' sense of competence and relatedness. However, concerns emerged around creative autonomy and dependence on AI. The study positions GenAI as a conditional more knowledgeable other and highlights the importance of pedagogical strategies that foster critical reflection and ethical use. These insights contribute to the emerging discourse on AI in design education by connecting theory with empirical evidence and offering practical implications for curriculum development.","archive_location":"WOS:001609419600006","container-title":"AUSTRALASIAN JOURNAL OF EDUCATIONAL TECHNOLOGY","ISSN":"1449-3098","issue":"3","language":"English","page":"102-118","title":"72-hour advertising challenge with generative AI in an undergraduate graphic design module: A case study","volume":"41","author":[{"family":"Wong","given":"SC"},{"family":"Tan","given":"HW"},{"family":"Ooi","given":"KH"}],"issued":{"date-parts":[["2025"]]}},"label":"page"},{"id":1252,"uris":["http://zotero.org/groups/6329368/items/9PTXGAMY"],"itemData":{"id":1252,"type":"paper-conference","abstract":"Generative AI image creation tools have the potential to transform design education and practice, but raise critical concerns for creativity and ownership. We leverage the 2022 launch of tools like Midjourney and DALL.E as a point dividing design enthusiasts into pre- and post-tool learners. In this paper, we conduct 28 artifact-based interviews with designers at varying levels of tool introduction, to understand how they perceive and use generative AI in their design roles. Our results indicate a rift in the value system of designers, with experienced designers being more circumspect about the loss of traditional creativity and foundational design skills. On the practical side, there exists a tension between the growing marketability of AI-related skills for design vs. the limited affordances of these tools for achieving meaningful designs. We discuss implications for the shifting definitions of design as a field, creativity and ownership, and AI in the design curriculum.","collection-title":"CHI '25","container-title":"Proceedings of the 2025 CHI Conference on Human Factors in Computing Systems","DOI":"10.1145/3706598.3713233","ISBN":"979-8-4007-1394-1","language":"en-US","page":"1–16","publisher":"Association for Computing Machinery","publisher-place":"New York, NY, USA","source":"ACM Digital Library","title":"Catalyst for Creativity or a Hollow Trend?: A Cross-Level Perspective on The Role of Generative AI in Design","title-short":"Catalyst for Creativity or a Hollow Trend?","URL":"https://dl.acm.org/doi/10.1145/3706598.3713233","author":[{"family":"Naqvi","given":"Syeda Masooma"},{"family":"He","given":"Ruichen"},{"family":"Kaur","given":"Harmanpreet"}],"accessed":{"date-parts":[["2026",1,7]]},"issued":{"date-parts":[["2025",4,25]]}},"label":"page"}],"schema":"https://github.com/citation-style-language/schema/raw/master/csl-citation.json"} </w:instrText>
      </w:r>
      <w:r>
        <w:rPr>
          <w:rFonts w:hint="eastAsia" w:ascii="Times New Roman" w:hAnsi="Times New Roman" w:eastAsia="宋体" w:cs="Times New Roman"/>
          <w:snapToGrid/>
          <w:color w:val="auto"/>
          <w:sz w:val="20"/>
          <w:szCs w:val="20"/>
          <w:lang w:val="zh-CN" w:eastAsia="zh-CN"/>
        </w:rPr>
        <w:fldChar w:fldCharType="separate"/>
      </w:r>
      <w:r>
        <w:rPr>
          <w:rFonts w:hint="eastAsia" w:ascii="Times New Roman" w:hAnsi="Times New Roman" w:eastAsia="宋体" w:cs="Times New Roman"/>
          <w:snapToGrid/>
          <w:color w:val="auto"/>
          <w:sz w:val="20"/>
          <w:szCs w:val="20"/>
          <w:vertAlign w:val="superscript"/>
          <w:lang w:val="zh-CN" w:eastAsia="zh-CN"/>
        </w:rPr>
        <w:t>27,30</w:t>
      </w:r>
      <w:r>
        <w:rPr>
          <w:rFonts w:hint="eastAsia" w:ascii="Times New Roman" w:hAnsi="Times New Roman" w:eastAsia="宋体" w:cs="Times New Roman"/>
          <w:snapToGrid/>
          <w:color w:val="auto"/>
          <w:sz w:val="20"/>
          <w:szCs w:val="20"/>
          <w:lang w:val="zh-CN" w:eastAsia="zh-CN"/>
        </w:rPr>
        <w:fldChar w:fldCharType="end"/>
      </w:r>
      <w:r>
        <w:rPr>
          <w:rFonts w:hint="eastAsia" w:ascii="Times New Roman" w:hAnsi="Times New Roman" w:eastAsia="宋体" w:cs="Times New Roman"/>
          <w:snapToGrid/>
          <w:color w:val="auto"/>
          <w:sz w:val="20"/>
          <w:szCs w:val="20"/>
          <w:lang w:val="zh-CN" w:eastAsia="zh-CN"/>
        </w:rPr>
        <w:t>. Students of fine arts are more sceptical about the application of GenAI, as they are concerned with authenticity and authorship</w:t>
      </w:r>
      <w:r>
        <w:rPr>
          <w:rFonts w:hint="eastAsia" w:ascii="Times New Roman" w:hAnsi="Times New Roman" w:eastAsia="宋体" w:cs="Times New Roman"/>
          <w:snapToGrid/>
          <w:color w:val="auto"/>
          <w:sz w:val="20"/>
          <w:szCs w:val="20"/>
          <w:lang w:val="zh-CN" w:eastAsia="zh-CN"/>
        </w:rPr>
        <w:fldChar w:fldCharType="begin"/>
      </w:r>
      <w:r>
        <w:rPr>
          <w:rFonts w:hint="eastAsia" w:ascii="Times New Roman" w:hAnsi="Times New Roman" w:eastAsia="宋体" w:cs="Times New Roman"/>
          <w:snapToGrid/>
          <w:color w:val="auto"/>
          <w:sz w:val="20"/>
          <w:szCs w:val="20"/>
          <w:lang w:val="zh-CN" w:eastAsia="zh-CN"/>
        </w:rPr>
        <w:instrText xml:space="preserve"> ADDIN ZOTERO_ITEM CSL_CITATION {"citationID":"YqCYwdWN","properties":{"formattedCitation":"&lt;sup&gt;23&lt;/sup&gt;","plainCitation":"23","noteIndex":0},"citationItems":[{"id":767,"uris":["http://zotero.org/groups/6329368/items/N8T5VGY6"],"itemData":{"id":767,"type":"article-journal","abstract":"BackgroundAcademic misconduct among students is common, particularly now that AI tools are widely available. Students with dark personality traits may be more likely to engage in misconduct. Drawing on social cognitive theory, this study examines how the dark personality traits of materialism, narcissism, psychopathy, and Machiavellianism are associated with academic dishonesty, anxiety, and procrastination, and, in turn, frustration, negative thinking and generative AI use habits.MethodSelf-reported data from 504 Chinese university art students were analyzed using structural equation modeling.ResultsResults showed that dark personality traits were significantly associated with academic dishonesty, anxiety, and procrastination, and that these markers of academic misbehavior were linked to increased frustration, negative thinking, and generative AI use.ConclusionThe findings highlight how personality traits are related to problematic academic behaviors and psychological difficulties. Academic institutions should provide appropriate training and psychological support to counter academic dishonesty and ensure students understand the value of academic ethics.","archive_location":"WOS:001522899700043","container-title":"BMC PSYCHOLOGY","DOI":"10.1186/s40359-025-02949-w","ISSN":"2050-7283","issue":"1","language":"English","title":"Dark personality traits are associated with academic misconduct, frustration, negative thinking, and generative AI use habits: the case of Sichuan art universities","volume":"13","author":[{"family":"Song","given":"JY"},{"family":"Liu","given":"SY"}],"issued":{"date-parts":[["2025",7,1]]}}}],"schema":"https://github.com/citation-style-language/schema/raw/master/csl-citation.json"} </w:instrText>
      </w:r>
      <w:r>
        <w:rPr>
          <w:rFonts w:hint="eastAsia" w:ascii="Times New Roman" w:hAnsi="Times New Roman" w:eastAsia="宋体" w:cs="Times New Roman"/>
          <w:snapToGrid/>
          <w:color w:val="auto"/>
          <w:sz w:val="20"/>
          <w:szCs w:val="20"/>
          <w:lang w:val="zh-CN" w:eastAsia="zh-CN"/>
        </w:rPr>
        <w:fldChar w:fldCharType="separate"/>
      </w:r>
      <w:r>
        <w:rPr>
          <w:rFonts w:hint="eastAsia" w:ascii="Times New Roman" w:hAnsi="Times New Roman" w:eastAsia="宋体" w:cs="Times New Roman"/>
          <w:snapToGrid/>
          <w:color w:val="auto"/>
          <w:sz w:val="20"/>
          <w:szCs w:val="20"/>
          <w:vertAlign w:val="superscript"/>
          <w:lang w:val="zh-CN" w:eastAsia="zh-CN"/>
        </w:rPr>
        <w:t>23</w:t>
      </w:r>
      <w:r>
        <w:rPr>
          <w:rFonts w:hint="eastAsia" w:ascii="Times New Roman" w:hAnsi="Times New Roman" w:eastAsia="宋体" w:cs="Times New Roman"/>
          <w:snapToGrid/>
          <w:color w:val="auto"/>
          <w:sz w:val="20"/>
          <w:szCs w:val="20"/>
          <w:lang w:val="zh-CN" w:eastAsia="zh-CN"/>
        </w:rPr>
        <w:fldChar w:fldCharType="end"/>
      </w:r>
      <w:r>
        <w:rPr>
          <w:rFonts w:hint="eastAsia" w:ascii="Times New Roman" w:hAnsi="Times New Roman" w:eastAsia="宋体" w:cs="Times New Roman"/>
          <w:snapToGrid/>
          <w:color w:val="auto"/>
          <w:sz w:val="20"/>
          <w:szCs w:val="20"/>
          <w:lang w:val="zh-CN" w:eastAsia="zh-CN"/>
        </w:rPr>
        <w:t>, and UX design students are more open to GenAI because of its storyboarding and communication capabilities, instead of personal expression</w:t>
      </w:r>
      <w:r>
        <w:rPr>
          <w:rFonts w:hint="eastAsia" w:ascii="Times New Roman" w:hAnsi="Times New Roman" w:eastAsia="宋体" w:cs="Times New Roman"/>
          <w:snapToGrid/>
          <w:color w:val="auto"/>
          <w:sz w:val="20"/>
          <w:szCs w:val="20"/>
          <w:lang w:val="zh-CN" w:eastAsia="zh-CN"/>
        </w:rPr>
        <w:fldChar w:fldCharType="begin"/>
      </w:r>
      <w:r>
        <w:rPr>
          <w:rFonts w:hint="eastAsia" w:ascii="Times New Roman" w:hAnsi="Times New Roman" w:eastAsia="宋体" w:cs="Times New Roman"/>
          <w:snapToGrid/>
          <w:color w:val="auto"/>
          <w:sz w:val="20"/>
          <w:szCs w:val="20"/>
          <w:lang w:val="zh-CN" w:eastAsia="zh-CN"/>
        </w:rPr>
        <w:instrText xml:space="preserve"> ADDIN ZOTERO_ITEM CSL_CITATION {"citationID":"TRXyUr63","properties":{"formattedCitation":"&lt;sup&gt;9,33&lt;/sup&gt;","plainCitation":"9,33","noteIndex":0},"citationItems":[{"id":1258,"uris":["http://zotero.org/groups/6329368/items/WYYVXVEV"],"itemData":{"id":1258,"type":"paper-conference","abstract":"Storyboarding is an established method for designing user experiences. Generative AI can support this process by helping designers quickly create visual narratives. However, existing tools mainly focus on improving the accuracy of text-to-image generation. There is a lack of understanding on how to effectively support the entire creative process of storyboarding and how to develop AI-powered tools to be integrated into designers’ diverse workflows. In this work, we designed and developed StoryDiffusion, a system that integrates text-to-text and text-to-image models, to support the generation of narratives and images in a single pipeline. In a user study, we observed 12 UX design students using the system for both concept ideation and illustration tasks. Our findings identified AI-directed vs. user-directed creative strategies in both tasks and revealed the importance of supporting the interchange between narrative iteration and image generation. We also found effects of the design tasks on their strategies and preferences, providing insights for future development.","collection-title":"ICMI '25","container-title":"Proceedings of the 27th International Conference on Multimodal Interaction","DOI":"10.1145/3716553.3750793","ISBN":"979-8-4007-1499-3","page":"135–144","publisher":"Association for Computing Machinery","publisher-place":"New York, NY, USA","source":"ACM Digital Library","title":"StoryDiffusion: How to Support UX Storyboarding With Generative-AI","title-short":"StoryDiffusion","URL":"https://dl.acm.org/doi/10.1145/3716553.3750793","author":[{"family":"Liang","given":"Zhaohui"},{"family":"Zhang","given":"Xiaoyu"},{"family":"Ma","given":"Kevin"},{"family":"Liu","given":"Zhao"},{"family":"Ren","given":"Xipei"},{"family":"Goucher-Lambert","given":"Kosa"},{"family":"Liu","given":"Can"}],"accessed":{"date-parts":[["2026",1,8]]},"issued":{"date-parts":[["2025",10,12]]}},"label":"page"},{"id":1244,"uris":["http://zotero.org/groups/6329368/items/RF4KXHL4"],"itemData":{"id":1244,"type":"article-journal","abstract":"As the demand for higher-order thinking skills continues to rise in the 21st century, the integration of Generative Artificial Intelligence (GAI) into educational practices has emerged as a promising tool. However, its full potential in enhancing collaborative problem-solving and team creativity within educational contexts, particularly in Digital Storytelling (DST), remains insufficiently explored. This study investigated the effects of GAI tools, including ChatGPT, Midjourney, and Runway, on university students’ Collaborative Problem-Solving (CPS) skills, Team Creativity Performance (TCP), and their perceptions of GAI’s role in DST creation. Employing a mixed-methods approach, the study utilized pre- and post-surveys along with semi-structured interviews to assess these outcomes. Over a 20-week DST training program, sixty university students were randomly assigned to either an experimental group creating their DST with the aid of GAI tools or a conventional group designed DST via traditional methods. Results indicated that the integration of GAI tools in DST creation significantly enhanced students’ CPS skills. Furthermore, the experimental group demonstrated better performance in team creativity, particularly in the user experience and novelty dimensions. It also revealed that while students generally held a positive attitude toward the use of GAI in DST creation, they also expressed concerns about potential cognitive offloading, over-reliance on GAI technology, and the lack of emotional support. This study offers valuable insights for educators and researchers seeking to incorporate GAI technologies into DST creation as a way to foster collaborative learning and creativity in educational settings.","container-title":"International Journal of Educational Technology in Higher Education","DOI":"10.1186/s41239-025-00526-0","ISSN":"2365-9440","issue":"1","journalAbbreviation":"Int J Educ Technol High Educ","language":"en","page":"23","source":"Springer Link","title":"The effects of generative AI on collaborative problem-solving and team creativity performance in digital story creation: an experimental study","title-short":"The effects of generative AI on collaborative problem-solving and team creativity performance in digital story creation","volume":"22","author":[{"family":"Wei","given":"Xiaodong"},{"family":"Wang","given":"Lei"},{"family":"Lee","given":"Lap-Kei"},{"family":"Liu","given":"Ruixue"}],"issued":{"date-parts":[["2025",4,25]]}},"label":"page"}],"schema":"https://github.com/citation-style-language/schema/raw/master/csl-citation.json"} </w:instrText>
      </w:r>
      <w:r>
        <w:rPr>
          <w:rFonts w:hint="eastAsia" w:ascii="Times New Roman" w:hAnsi="Times New Roman" w:eastAsia="宋体" w:cs="Times New Roman"/>
          <w:snapToGrid/>
          <w:color w:val="auto"/>
          <w:sz w:val="20"/>
          <w:szCs w:val="20"/>
          <w:lang w:val="zh-CN" w:eastAsia="zh-CN"/>
        </w:rPr>
        <w:fldChar w:fldCharType="separate"/>
      </w:r>
      <w:r>
        <w:rPr>
          <w:rFonts w:hint="eastAsia" w:ascii="Times New Roman" w:hAnsi="Times New Roman" w:eastAsia="宋体" w:cs="Times New Roman"/>
          <w:snapToGrid/>
          <w:color w:val="auto"/>
          <w:sz w:val="20"/>
          <w:szCs w:val="20"/>
          <w:vertAlign w:val="superscript"/>
          <w:lang w:val="zh-CN" w:eastAsia="zh-CN"/>
        </w:rPr>
        <w:t>9,33</w:t>
      </w:r>
      <w:r>
        <w:rPr>
          <w:rFonts w:hint="eastAsia" w:ascii="Times New Roman" w:hAnsi="Times New Roman" w:eastAsia="宋体" w:cs="Times New Roman"/>
          <w:snapToGrid/>
          <w:color w:val="auto"/>
          <w:sz w:val="20"/>
          <w:szCs w:val="20"/>
          <w:lang w:val="zh-CN" w:eastAsia="zh-CN"/>
        </w:rPr>
        <w:fldChar w:fldCharType="end"/>
      </w:r>
      <w:r>
        <w:rPr>
          <w:rFonts w:hint="eastAsia" w:ascii="Times New Roman" w:hAnsi="Times New Roman" w:eastAsia="宋体" w:cs="Times New Roman"/>
          <w:snapToGrid/>
          <w:color w:val="auto"/>
          <w:sz w:val="20"/>
          <w:szCs w:val="20"/>
          <w:lang w:val="zh-CN" w:eastAsia="zh-CN"/>
        </w:rPr>
        <w:t>.</w:t>
      </w:r>
    </w:p>
    <w:p w14:paraId="4048F6A7">
      <w:pPr>
        <w:pStyle w:val="6"/>
        <w:snapToGrid/>
        <w:spacing w:before="55" w:line="480" w:lineRule="auto"/>
        <w:contextualSpacing/>
        <w:jc w:val="both"/>
        <w:outlineLvl w:val="2"/>
        <w:rPr>
          <w:rFonts w:ascii="Times New Roman" w:hAnsi="Times New Roman" w:eastAsia="宋体" w:cs="Times New Roman"/>
          <w:b/>
          <w:bCs/>
          <w:snapToGrid/>
          <w:sz w:val="20"/>
          <w:szCs w:val="20"/>
          <w:lang w:val="zh-CN" w:eastAsia="zh-CN" w:bidi="ar-SA"/>
        </w:rPr>
      </w:pPr>
      <w:r>
        <w:rPr>
          <w:rFonts w:ascii="Times New Roman" w:hAnsi="Times New Roman" w:eastAsia="宋体" w:cs="Times New Roman"/>
          <w:b/>
          <w:bCs/>
          <w:snapToGrid/>
          <w:sz w:val="20"/>
          <w:szCs w:val="20"/>
          <w:lang w:val="zh-CN" w:eastAsia="zh-CN" w:bidi="ar-SA"/>
        </w:rPr>
        <w:t>Learner Experience</w:t>
      </w:r>
    </w:p>
    <w:p w14:paraId="0DA4BCD1">
      <w:pPr>
        <w:kinsoku/>
        <w:adjustRightInd/>
        <w:snapToGrid/>
        <w:jc w:val="both"/>
        <w:textAlignment w:val="auto"/>
        <w:outlineLvl w:val="1"/>
        <w:rPr>
          <w:rFonts w:hint="eastAsia" w:ascii="Times New Roman" w:hAnsi="Times New Roman" w:eastAsia="宋体" w:cs="Times New Roman"/>
          <w:snapToGrid/>
          <w:color w:val="auto"/>
          <w:sz w:val="20"/>
          <w:szCs w:val="20"/>
          <w:lang w:val="zh-CN" w:eastAsia="zh-CN"/>
        </w:rPr>
      </w:pPr>
      <w:r>
        <w:rPr>
          <w:rFonts w:hint="eastAsia" w:ascii="Times New Roman" w:hAnsi="Times New Roman" w:eastAsia="宋体" w:cs="Times New Roman"/>
          <w:snapToGrid/>
          <w:color w:val="auto"/>
          <w:sz w:val="20"/>
          <w:szCs w:val="20"/>
          <w:lang w:val="zh-CN" w:eastAsia="zh-CN"/>
        </w:rPr>
        <w:t>Engagement is influenced by experience: the undergraduate learners with limited experience may employ GenAI as a scaffold to visualise something that cannot be done with their hands, a process known as the democratisation of creativity</w:t>
      </w:r>
      <w:r>
        <w:rPr>
          <w:rFonts w:hint="eastAsia" w:ascii="Times New Roman" w:hAnsi="Times New Roman" w:eastAsia="宋体" w:cs="Times New Roman"/>
          <w:snapToGrid/>
          <w:color w:val="auto"/>
          <w:sz w:val="20"/>
          <w:szCs w:val="20"/>
          <w:lang w:val="zh-CN" w:eastAsia="zh-CN"/>
        </w:rPr>
        <w:fldChar w:fldCharType="begin"/>
      </w:r>
      <w:r>
        <w:rPr>
          <w:rFonts w:hint="eastAsia" w:ascii="Times New Roman" w:hAnsi="Times New Roman" w:eastAsia="宋体" w:cs="Times New Roman"/>
          <w:snapToGrid/>
          <w:color w:val="auto"/>
          <w:sz w:val="20"/>
          <w:szCs w:val="20"/>
          <w:lang w:val="zh-CN" w:eastAsia="zh-CN"/>
        </w:rPr>
        <w:instrText xml:space="preserve"> ADDIN ZOTERO_ITEM CSL_CITATION {"citationID":"ABNhyGPa","properties":{"formattedCitation":"&lt;sup&gt;28,30&lt;/sup&gt;","plainCitation":"28,30","noteIndex":0},"citationItems":[{"id":1250,"uris":["http://zotero.org/groups/6329368/items/Q425HVJJ"],"itemData":{"id":1250,"type":"article-journal","abstract":"This study focuses on Generative Artificial Intelligence (AI) and its transformative impact on design ideation. Generative AI, recognized for its ability to produce a wide array of design alternatives, has become an important tool in design, reshaping traditional methodologies. It facilitates the generation of novel and diverse design forms, acting as a co-creator in the design process. This technology, through machine learning and pattern recognition, analyzes extensive design datasets, enabling the production of innovative solutions. The utilization of generative AI extends beyond replicating AI-provided solutions; it aids in developing and influencing novel concepts, thus fostering original design solutions. This aligns with the concept of ‘reflective practice’ in design, where designers iteratively refine concepts through a dialogue between thought and action. The study employed a quasi-experimental design with 40 design students, randomly assigned to two groups of 20 each. Conducted in two phases, each phase involved a distinct urban furniture design task. In Phase 1, Group A was provided with a text-to-image generating AI tool, while Group B was not. In Phase 2, both groups undertook a similar task without AI assistance. This design exercise allowed for examining the influence of AI on creativity and cognitive load. Design outcomes from both tasks were anonymized and evaluated by experienced professionals using the Creative Product Semantic Scale (CPSS), which measures Novelty, Resolution, and Elaboration and Synthesis. Additionally, the NASA Task Load Index (NASA TLX) questionnaire assessed cognitive load aspects such as mental demand and effort. Findings suggest that generative AI significantly influences the creative design process, enhancing the quality of design outcomes and reducing cognitive load. The AI group demonstrated better performance in both tasks, indicating the impact of AI tools on design skills. This study underscores the potential of AI tools in design education, balancing cognitive load management with creativity enhancement.","container-title":"International Journal of Architectural Computing","DOI":"10.1177/14780771241254637","ISSN":"1478-0771","issue":"1","language":"EN","page":"122-136","publisher":"SAGE Publications","source":"SAGE Journals","title":"Can artificial intelligence support creativity in early design processes?","volume":"23","author":[{"family":"Chandrasekera","given":"Tilanka"},{"family":"Hosseini","given":"Zahrasadat"},{"family":"Perera","given":"Ubhaya"}],"issued":{"date-parts":[["2025",3,1]]}},"label":"page"},{"id":1252,"uris":["http://zotero.org/groups/6329368/items/9PTXGAMY"],"itemData":{"id":1252,"type":"paper-conference","abstract":"Generative AI image creation tools have the potential to transform design education and practice, but raise critical concerns for creativity and ownership. We leverage the 2022 launch of tools like Midjourney and DALL.E as a point dividing design enthusiasts into pre- and post-tool learners. In this paper, we conduct 28 artifact-based interviews with designers at varying levels of tool introduction, to understand how they perceive and use generative AI in their design roles. Our results indicate a rift in the value system of designers, with experienced designers being more circumspect about the loss of traditional creativity and foundational design skills. On the practical side, there exists a tension between the growing marketability of AI-related skills for design vs. the limited affordances of these tools for achieving meaningful designs. We discuss implications for the shifting definitions of design as a field, creativity and ownership, and AI in the design curriculum.","collection-title":"CHI '25","container-title":"Proceedings of the 2025 CHI Conference on Human Factors in Computing Systems","DOI":"10.1145/3706598.3713233","ISBN":"979-8-4007-1394-1","language":"en-US","page":"1–16","publisher":"Association for Computing Machinery","publisher-place":"New York, NY, USA","source":"ACM Digital Library","title":"Catalyst for Creativity or a Hollow Trend?: A Cross-Level Perspective on The Role of Generative AI in Design","title-short":"Catalyst for Creativity or a Hollow Trend?","URL":"https://dl.acm.org/doi/10.1145/3706598.3713233","author":[{"family":"Naqvi","given":"Syeda Masooma"},{"family":"He","given":"Ruichen"},{"family":"Kaur","given":"Harmanpreet"}],"accessed":{"date-parts":[["2026",1,7]]},"issued":{"date-parts":[["2025",4,25]]}},"label":"page"}],"schema":"https://github.com/citation-style-language/schema/raw/master/csl-citation.json"} </w:instrText>
      </w:r>
      <w:r>
        <w:rPr>
          <w:rFonts w:hint="eastAsia" w:ascii="Times New Roman" w:hAnsi="Times New Roman" w:eastAsia="宋体" w:cs="Times New Roman"/>
          <w:snapToGrid/>
          <w:color w:val="auto"/>
          <w:sz w:val="20"/>
          <w:szCs w:val="20"/>
          <w:lang w:val="zh-CN" w:eastAsia="zh-CN"/>
        </w:rPr>
        <w:fldChar w:fldCharType="separate"/>
      </w:r>
      <w:r>
        <w:rPr>
          <w:rFonts w:hint="eastAsia" w:ascii="Times New Roman" w:hAnsi="Times New Roman" w:eastAsia="宋体" w:cs="Times New Roman"/>
          <w:snapToGrid/>
          <w:color w:val="auto"/>
          <w:sz w:val="20"/>
          <w:szCs w:val="20"/>
          <w:vertAlign w:val="superscript"/>
          <w:lang w:val="zh-CN" w:eastAsia="zh-CN"/>
        </w:rPr>
        <w:t>28,30</w:t>
      </w:r>
      <w:r>
        <w:rPr>
          <w:rFonts w:hint="eastAsia" w:ascii="Times New Roman" w:hAnsi="Times New Roman" w:eastAsia="宋体" w:cs="Times New Roman"/>
          <w:snapToGrid/>
          <w:color w:val="auto"/>
          <w:sz w:val="20"/>
          <w:szCs w:val="20"/>
          <w:lang w:val="zh-CN" w:eastAsia="zh-CN"/>
        </w:rPr>
        <w:fldChar w:fldCharType="end"/>
      </w:r>
      <w:r>
        <w:rPr>
          <w:rFonts w:hint="eastAsia" w:ascii="Times New Roman" w:hAnsi="Times New Roman" w:eastAsia="宋体" w:cs="Times New Roman"/>
          <w:snapToGrid/>
          <w:color w:val="auto"/>
          <w:sz w:val="20"/>
          <w:szCs w:val="20"/>
          <w:lang w:val="zh-CN" w:eastAsia="zh-CN"/>
        </w:rPr>
        <w:t>, but may inevitably become over-reliant at the expense of developing their skills</w:t>
      </w:r>
      <w:r>
        <w:rPr>
          <w:rFonts w:hint="eastAsia" w:ascii="Times New Roman" w:hAnsi="Times New Roman" w:eastAsia="宋体" w:cs="Times New Roman"/>
          <w:snapToGrid/>
          <w:color w:val="auto"/>
          <w:sz w:val="20"/>
          <w:szCs w:val="20"/>
          <w:lang w:val="zh-CN" w:eastAsia="zh-CN"/>
        </w:rPr>
        <w:fldChar w:fldCharType="begin"/>
      </w:r>
      <w:r>
        <w:rPr>
          <w:rFonts w:hint="eastAsia" w:ascii="Times New Roman" w:hAnsi="Times New Roman" w:eastAsia="宋体" w:cs="Times New Roman"/>
          <w:snapToGrid/>
          <w:color w:val="auto"/>
          <w:sz w:val="20"/>
          <w:szCs w:val="20"/>
          <w:lang w:val="zh-CN" w:eastAsia="zh-CN"/>
        </w:rPr>
        <w:instrText xml:space="preserve"> ADDIN ZOTERO_ITEM CSL_CITATION {"citationID":"qCgzwS4H","properties":{"formattedCitation":"&lt;sup&gt;23,27&lt;/sup&gt;","plainCitation":"23,27","noteIndex":0},"citationItems":[{"id":817,"uris":["http://zotero.org/groups/6329368/items/V3BFVTRY"],"itemData":{"id":817,"type":"article-journal","abstract":"Interest in using generative artificial intelligence (GenAI) in design education is growing, yet its impact on students' creative processes and motivation remains underexplored, especially in advertising design. This qualitative exploratory case study examined how GenAI tools influenced 12 undergraduate graphic and multimedia design students during a 72-hour advertising challenge with GenAI at a private Malaysian university. Grounded in sociocultural theory's zone of proximal development and self-determination theory, the study explored how GenAI functioned as an instructional support. Data were collected through three focus group discussions and analysed thematically. Findings suggest that GenAI enhanced ideation, visualisation and collaboration, supporting students' sense of competence and relatedness. However, concerns emerged around creative autonomy and dependence on AI. The study positions GenAI as a conditional more knowledgeable other and highlights the importance of pedagogical strategies that foster critical reflection and ethical use. These insights contribute to the emerging discourse on AI in design education by connecting theory with empirical evidence and offering practical implications for curriculum development.","archive_location":"WOS:001609419600006","container-title":"AUSTRALASIAN JOURNAL OF EDUCATIONAL TECHNOLOGY","ISSN":"1449-3098","issue":"3","language":"English","page":"102-118","title":"72-hour advertising challenge with generative AI in an undergraduate graphic design module: A case study","volume":"41","author":[{"family":"Wong","given":"SC"},{"family":"Tan","given":"HW"},{"family":"Ooi","given":"KH"}],"issued":{"date-parts":[["2025"]]}},"label":"page"},{"id":767,"uris":["http://zotero.org/groups/6329368/items/N8T5VGY6"],"itemData":{"id":767,"type":"article-journal","abstract":"BackgroundAcademic misconduct among students is common, particularly now that AI tools are widely available. Students with dark personality traits may be more likely to engage in misconduct. Drawing on social cognitive theory, this study examines how the dark personality traits of materialism, narcissism, psychopathy, and Machiavellianism are associated with academic dishonesty, anxiety, and procrastination, and, in turn, frustration, negative thinking and generative AI use habits.MethodSelf-reported data from 504 Chinese university art students were analyzed using structural equation modeling.ResultsResults showed that dark personality traits were significantly associated with academic dishonesty, anxiety, and procrastination, and that these markers of academic misbehavior were linked to increased frustration, negative thinking, and generative AI use.ConclusionThe findings highlight how personality traits are related to problematic academic behaviors and psychological difficulties. Academic institutions should provide appropriate training and psychological support to counter academic dishonesty and ensure students understand the value of academic ethics.","archive_location":"WOS:001522899700043","container-title":"BMC PSYCHOLOGY","DOI":"10.1186/s40359-025-02949-w","ISSN":"2050-7283","issue":"1","language":"English","title":"Dark personality traits are associated with academic misconduct, frustration, negative thinking, and generative AI use habits: the case of Sichuan art universities","volume":"13","author":[{"family":"Song","given":"JY"},{"family":"Liu","given":"SY"}],"issued":{"date-parts":[["2025",7,1]]}},"label":"page"}],"schema":"https://github.com/citation-style-language/schema/raw/master/csl-citation.json"} </w:instrText>
      </w:r>
      <w:r>
        <w:rPr>
          <w:rFonts w:hint="eastAsia" w:ascii="Times New Roman" w:hAnsi="Times New Roman" w:eastAsia="宋体" w:cs="Times New Roman"/>
          <w:snapToGrid/>
          <w:color w:val="auto"/>
          <w:sz w:val="20"/>
          <w:szCs w:val="20"/>
          <w:lang w:val="zh-CN" w:eastAsia="zh-CN"/>
        </w:rPr>
        <w:fldChar w:fldCharType="separate"/>
      </w:r>
      <w:r>
        <w:rPr>
          <w:rFonts w:hint="eastAsia" w:ascii="Times New Roman" w:hAnsi="Times New Roman" w:eastAsia="宋体" w:cs="Times New Roman"/>
          <w:snapToGrid/>
          <w:color w:val="auto"/>
          <w:sz w:val="20"/>
          <w:szCs w:val="20"/>
          <w:vertAlign w:val="superscript"/>
          <w:lang w:val="zh-CN" w:eastAsia="zh-CN"/>
        </w:rPr>
        <w:t>23,27</w:t>
      </w:r>
      <w:r>
        <w:rPr>
          <w:rFonts w:hint="eastAsia" w:ascii="Times New Roman" w:hAnsi="Times New Roman" w:eastAsia="宋体" w:cs="Times New Roman"/>
          <w:snapToGrid/>
          <w:color w:val="auto"/>
          <w:sz w:val="20"/>
          <w:szCs w:val="20"/>
          <w:lang w:val="zh-CN" w:eastAsia="zh-CN"/>
        </w:rPr>
        <w:fldChar w:fldCharType="end"/>
      </w:r>
      <w:r>
        <w:rPr>
          <w:rFonts w:hint="eastAsia" w:ascii="Times New Roman" w:hAnsi="Times New Roman" w:eastAsia="宋体" w:cs="Times New Roman"/>
          <w:snapToGrid/>
          <w:color w:val="auto"/>
          <w:sz w:val="20"/>
          <w:szCs w:val="20"/>
          <w:lang w:val="zh-CN" w:eastAsia="zh-CN"/>
        </w:rPr>
        <w:t>. GenAI is also utilised by advanced students and early-career professionals to create more efficiency, e.g., by automating any repetitive procedure, like creating colour palettes or layout variations, to devote more attention to higher-level concept development. In spite of this efficiency, they note anxiety related to skill obsolescence and the possibility of expertise undermining, as novices will be able to produce similar results with the help of GenAI</w:t>
      </w:r>
      <w:r>
        <w:rPr>
          <w:rFonts w:hint="eastAsia" w:ascii="Times New Roman" w:hAnsi="Times New Roman" w:eastAsia="宋体" w:cs="Times New Roman"/>
          <w:snapToGrid/>
          <w:color w:val="auto"/>
          <w:sz w:val="20"/>
          <w:szCs w:val="20"/>
          <w:lang w:val="zh-CN" w:eastAsia="zh-CN"/>
        </w:rPr>
        <w:fldChar w:fldCharType="begin"/>
      </w:r>
      <w:r>
        <w:rPr>
          <w:rFonts w:hint="eastAsia" w:ascii="Times New Roman" w:hAnsi="Times New Roman" w:eastAsia="宋体" w:cs="Times New Roman"/>
          <w:snapToGrid/>
          <w:color w:val="auto"/>
          <w:sz w:val="20"/>
          <w:szCs w:val="20"/>
          <w:lang w:val="zh-CN" w:eastAsia="zh-CN"/>
        </w:rPr>
        <w:instrText xml:space="preserve"> ADDIN ZOTERO_ITEM CSL_CITATION {"citationID":"KqzEs0xi","properties":{"formattedCitation":"&lt;sup&gt;30,31&lt;/sup&gt;","plainCitation":"30,31","noteIndex":0},"citationItems":[{"id":1252,"uris":["http://zotero.org/groups/6329368/items/9PTXGAMY"],"itemData":{"id":1252,"type":"paper-conference","abstract":"Generative AI image creation tools have the potential to transform design education and practice, but raise critical concerns for creativity and ownership. We leverage the 2022 launch of tools like Midjourney and DALL.E as a point dividing design enthusiasts into pre- and post-tool learners. In this paper, we conduct 28 artifact-based interviews with designers at varying levels of tool introduction, to understand how they perceive and use generative AI in their design roles. Our results indicate a rift in the value system of designers, with experienced designers being more circumspect about the loss of traditional creativity and foundational design skills. On the practical side, there exists a tension between the growing marketability of AI-related skills for design vs. the limited affordances of these tools for achieving meaningful designs. We discuss implications for the shifting definitions of design as a field, creativity and ownership, and AI in the design curriculum.","collection-title":"CHI '25","container-title":"Proceedings of the 2025 CHI Conference on Human Factors in Computing Systems","DOI":"10.1145/3706598.3713233","ISBN":"979-8-4007-1394-1","language":"en-US","page":"1–16","publisher":"Association for Computing Machinery","publisher-place":"New York, NY, USA","source":"ACM Digital Library","title":"Catalyst for Creativity or a Hollow Trend?: A Cross-Level Perspective on The Role of Generative AI in Design","title-short":"Catalyst for Creativity or a Hollow Trend?","URL":"https://dl.acm.org/doi/10.1145/3706598.3713233","author":[{"family":"Naqvi","given":"Syeda Masooma"},{"family":"He","given":"Ruichen"},{"family":"Kaur","given":"Harmanpreet"}],"accessed":{"date-parts":[["2026",1,7]]},"issued":{"date-parts":[["2025",4,25]]}},"label":"page"},{"id":1254,"uris":["http://zotero.org/groups/6329368/items/TQHFP9IJ"],"itemData":{"id":1254,"type":"article-journal","abstract":"The introduction of generative AI (GenAI) tools has created a significant disruption in the design professions as they become increasingly integrated into creative processes. Whilst there is an abundance of case-specific, applied studies testing how to integrate AI-supported tools into design workflows, little work has holistically examined their role and impact on the industrial design profession. This paper investigates human–AI co-creation, focussing specifically on the experiences and perspectives of industrial designers through a series of workshops and focus group discussions. In these workshops, industrial designers reflected on incorporating GenAI into their workflows via hands-on experiences with selected AI-based image generators. We conducted five workshops and focus group discussions with 32 industrial designers and design students, providing valuable insights into how the role and impact of GenAI for product design is perceived. Thematic analysis of the data collected from the discussions was triangulated with observation notes and AI-generated works collected during the workshop, offering a comprehensive view of the performance of said tools, their pragmatic uses, impacts on design performance and creativity, and anticipated effects on professional practise. Through designers’ elicited motivations and concerns, we outline the perceived professional opportunities, barriers, and risks of image generation. Drawing on these insights, we map the factors influencing GenAI adoption in the industrial design profession, framing the interplay of communication, automation, and designerly autonomy, and offer recommendations for the development of designer-friendly GenAI systems.","container-title":"AI &amp; SOCIETY","DOI":"10.1007/s00146-025-02504-6","ISSN":"1435-5655","journalAbbreviation":"AI &amp; Soc","language":"en","source":"Springer Link","title":"Designer experiences and perspectives on the role of generative AI in industrial design","URL":"https://doi.org/10.1007/s00146-025-02504-6","author":[{"family":"Süner-Pla-Cerdà","given":"Sedef"},{"family":"Şen","given":"Güzin"},{"family":"Kumbasar","given":"Ecem"},{"family":"Şahin","given":"Batuhan"},{"family":"Ünlü","given":"Canan Emine"}],"accessed":{"date-parts":[["2026",1,8]]},"issued":{"date-parts":[["2025",7,24]]}},"label":"page"}],"schema":"https://github.com/citation-style-language/schema/raw/master/csl-citation.json"} </w:instrText>
      </w:r>
      <w:r>
        <w:rPr>
          <w:rFonts w:hint="eastAsia" w:ascii="Times New Roman" w:hAnsi="Times New Roman" w:eastAsia="宋体" w:cs="Times New Roman"/>
          <w:snapToGrid/>
          <w:color w:val="auto"/>
          <w:sz w:val="20"/>
          <w:szCs w:val="20"/>
          <w:lang w:val="zh-CN" w:eastAsia="zh-CN"/>
        </w:rPr>
        <w:fldChar w:fldCharType="separate"/>
      </w:r>
      <w:r>
        <w:rPr>
          <w:rFonts w:hint="eastAsia" w:ascii="Times New Roman" w:hAnsi="Times New Roman" w:eastAsia="宋体" w:cs="Times New Roman"/>
          <w:snapToGrid/>
          <w:color w:val="auto"/>
          <w:sz w:val="20"/>
          <w:szCs w:val="20"/>
          <w:vertAlign w:val="superscript"/>
          <w:lang w:val="zh-CN" w:eastAsia="zh-CN"/>
        </w:rPr>
        <w:t>30,31</w:t>
      </w:r>
      <w:r>
        <w:rPr>
          <w:rFonts w:hint="eastAsia" w:ascii="Times New Roman" w:hAnsi="Times New Roman" w:eastAsia="宋体" w:cs="Times New Roman"/>
          <w:snapToGrid/>
          <w:color w:val="auto"/>
          <w:sz w:val="20"/>
          <w:szCs w:val="20"/>
          <w:lang w:val="zh-CN" w:eastAsia="zh-CN"/>
        </w:rPr>
        <w:fldChar w:fldCharType="end"/>
      </w:r>
      <w:r>
        <w:rPr>
          <w:rFonts w:hint="eastAsia" w:ascii="Times New Roman" w:hAnsi="Times New Roman" w:eastAsia="宋体" w:cs="Times New Roman"/>
          <w:snapToGrid/>
          <w:color w:val="auto"/>
          <w:sz w:val="20"/>
          <w:szCs w:val="20"/>
          <w:lang w:val="zh-CN" w:eastAsia="zh-CN"/>
        </w:rPr>
        <w:t>.</w:t>
      </w:r>
    </w:p>
    <w:p w14:paraId="31604508">
      <w:pPr>
        <w:pStyle w:val="6"/>
        <w:snapToGrid/>
        <w:spacing w:before="55" w:line="480" w:lineRule="auto"/>
        <w:contextualSpacing/>
        <w:jc w:val="both"/>
        <w:outlineLvl w:val="2"/>
        <w:rPr>
          <w:rFonts w:ascii="Times New Roman" w:hAnsi="Times New Roman" w:cs="Times New Roman"/>
          <w:spacing w:val="4"/>
          <w:position w:val="2"/>
          <w:sz w:val="24"/>
          <w:szCs w:val="24"/>
          <w:lang w:eastAsia="zh-CN"/>
        </w:rPr>
      </w:pPr>
      <w:r>
        <w:rPr>
          <w:rFonts w:hint="default" w:ascii="Times New Roman" w:hAnsi="Times New Roman" w:eastAsia="宋体" w:cs="Times New Roman"/>
          <w:b/>
          <w:bCs/>
          <w:snapToGrid/>
          <w:sz w:val="20"/>
          <w:szCs w:val="20"/>
          <w:lang w:val="en-US" w:eastAsia="zh-CN" w:bidi="ar-SA"/>
        </w:rPr>
        <w:t xml:space="preserve">RQ2: What Psychological Challenges Do Students Face When Using Generative </w:t>
      </w:r>
      <w:r>
        <w:rPr>
          <w:rFonts w:hint="eastAsia" w:ascii="Times New Roman" w:hAnsi="Times New Roman" w:eastAsia="宋体" w:cs="Times New Roman"/>
          <w:b/>
          <w:bCs/>
          <w:snapToGrid/>
          <w:sz w:val="20"/>
          <w:szCs w:val="20"/>
          <w:lang w:val="en-US" w:eastAsia="zh-CN" w:bidi="ar-SA"/>
        </w:rPr>
        <w:t>Gen</w:t>
      </w:r>
      <w:r>
        <w:rPr>
          <w:rFonts w:hint="default" w:ascii="Times New Roman" w:hAnsi="Times New Roman" w:eastAsia="宋体" w:cs="Times New Roman"/>
          <w:b/>
          <w:bCs/>
          <w:snapToGrid/>
          <w:sz w:val="20"/>
          <w:szCs w:val="20"/>
          <w:lang w:val="en-US" w:eastAsia="zh-CN" w:bidi="ar-SA"/>
        </w:rPr>
        <w:t>AI?</w:t>
      </w:r>
      <w:r>
        <w:rPr>
          <w:rFonts w:hint="default" w:ascii="Times New Roman" w:hAnsi="Times New Roman" w:cs="Times New Roman"/>
          <w:spacing w:val="4"/>
          <w:position w:val="2"/>
          <w:sz w:val="24"/>
          <w:szCs w:val="24"/>
          <w:lang w:eastAsia="zh-CN"/>
        </w:rPr>
        <w:t xml:space="preserve"> </w:t>
      </w:r>
    </w:p>
    <w:p w14:paraId="3691EF74">
      <w:pPr>
        <w:kinsoku/>
        <w:adjustRightInd/>
        <w:snapToGrid/>
        <w:jc w:val="both"/>
        <w:textAlignment w:val="auto"/>
        <w:outlineLvl w:val="1"/>
        <w:rPr>
          <w:rFonts w:hint="default" w:ascii="Times New Roman" w:hAnsi="Times New Roman" w:eastAsia="宋体" w:cs="Times New Roman"/>
          <w:snapToGrid/>
          <w:color w:val="auto"/>
          <w:sz w:val="20"/>
          <w:szCs w:val="20"/>
          <w:lang w:val="zh-CN" w:eastAsia="zh-CN"/>
        </w:rPr>
      </w:pPr>
      <w:r>
        <w:rPr>
          <w:rFonts w:hint="default" w:ascii="Times New Roman" w:hAnsi="Times New Roman" w:eastAsia="宋体" w:cs="Times New Roman"/>
          <w:snapToGrid/>
          <w:color w:val="auto"/>
          <w:sz w:val="20"/>
          <w:szCs w:val="20"/>
          <w:lang w:val="zh-CN" w:eastAsia="zh-CN"/>
        </w:rPr>
        <w:t xml:space="preserve">Based on the analysis of 20 empirical studies, this section synthesizes the core psychological challenges faced by creative education students in GenAI use and discusses their key implications for practice, focusing on summarizing research patterns. </w:t>
      </w:r>
    </w:p>
    <w:p w14:paraId="6B23F80B">
      <w:pPr>
        <w:kinsoku/>
        <w:adjustRightInd/>
        <w:snapToGrid/>
        <w:jc w:val="both"/>
        <w:textAlignment w:val="auto"/>
        <w:outlineLvl w:val="1"/>
        <w:rPr>
          <w:rFonts w:hint="default" w:ascii="Times New Roman" w:hAnsi="Times New Roman" w:eastAsia="宋体" w:cs="Times New Roman"/>
          <w:snapToGrid/>
          <w:color w:val="auto"/>
          <w:sz w:val="20"/>
          <w:szCs w:val="20"/>
          <w:lang w:eastAsia="zh-CN"/>
        </w:rPr>
      </w:pPr>
    </w:p>
    <w:tbl>
      <w:tblPr>
        <w:tblStyle w:val="11"/>
        <w:tblW w:w="7584" w:type="dxa"/>
        <w:jc w:val="center"/>
        <w:shd w:val="clear" w:color="auto" w:fill="FFFFFF"/>
        <w:tblLayout w:type="autofit"/>
        <w:tblCellMar>
          <w:top w:w="0" w:type="dxa"/>
          <w:left w:w="0" w:type="dxa"/>
          <w:bottom w:w="0" w:type="dxa"/>
          <w:right w:w="0" w:type="dxa"/>
        </w:tblCellMar>
      </w:tblPr>
      <w:tblGrid>
        <w:gridCol w:w="2744"/>
        <w:gridCol w:w="2193"/>
        <w:gridCol w:w="1185"/>
        <w:gridCol w:w="1462"/>
      </w:tblGrid>
      <w:tr w14:paraId="6FB34B8B">
        <w:tblPrEx>
          <w:tblCellMar>
            <w:top w:w="0" w:type="dxa"/>
            <w:left w:w="0" w:type="dxa"/>
            <w:bottom w:w="0" w:type="dxa"/>
            <w:right w:w="0" w:type="dxa"/>
          </w:tblCellMar>
        </w:tblPrEx>
        <w:trPr>
          <w:trHeight w:val="0" w:hRule="atLeast"/>
          <w:tblHeader/>
          <w:jc w:val="center"/>
        </w:trPr>
        <w:tc>
          <w:tcPr>
            <w:tcW w:w="2744" w:type="dxa"/>
            <w:tcBorders>
              <w:top w:val="single" w:color="auto" w:sz="12" w:space="0"/>
              <w:bottom w:val="single" w:color="auto" w:sz="8" w:space="0"/>
            </w:tcBorders>
            <w:shd w:val="clear" w:color="auto" w:fill="D7D7D7" w:themeFill="background1" w:themeFillShade="D8"/>
            <w:noWrap w:val="0"/>
            <w:vAlign w:val="center"/>
          </w:tcPr>
          <w:p w14:paraId="07D13E1D">
            <w:pPr>
              <w:snapToGrid w:val="0"/>
              <w:spacing w:line="240" w:lineRule="auto"/>
              <w:ind w:left="0" w:leftChars="0" w:right="0" w:rightChars="0" w:firstLine="0" w:firstLineChars="0"/>
              <w:contextualSpacing/>
              <w:jc w:val="center"/>
              <w:rPr>
                <w:rFonts w:ascii="Times New Roman" w:hAnsi="Times New Roman" w:eastAsia="Calibri" w:cs="Times New Roman"/>
                <w:b/>
                <w:spacing w:val="4"/>
                <w:position w:val="2"/>
                <w:sz w:val="18"/>
                <w:szCs w:val="18"/>
                <w:lang w:eastAsia="zh-CN"/>
              </w:rPr>
            </w:pPr>
            <w:r>
              <w:rPr>
                <w:rFonts w:hint="default" w:ascii="Times New Roman" w:hAnsi="Times New Roman" w:eastAsia="Calibri" w:cs="Times New Roman"/>
                <w:b/>
                <w:spacing w:val="4"/>
                <w:position w:val="2"/>
                <w:sz w:val="18"/>
                <w:szCs w:val="18"/>
                <w:lang w:eastAsia="zh-CN"/>
              </w:rPr>
              <w:t>Item</w:t>
            </w:r>
          </w:p>
        </w:tc>
        <w:tc>
          <w:tcPr>
            <w:tcW w:w="2193" w:type="dxa"/>
            <w:tcBorders>
              <w:top w:val="single" w:color="auto" w:sz="12" w:space="0"/>
              <w:bottom w:val="single" w:color="auto" w:sz="8" w:space="0"/>
            </w:tcBorders>
            <w:shd w:val="clear" w:color="auto" w:fill="D7D7D7" w:themeFill="background1" w:themeFillShade="D8"/>
            <w:noWrap w:val="0"/>
            <w:vAlign w:val="center"/>
          </w:tcPr>
          <w:p w14:paraId="56A9AE8B">
            <w:pPr>
              <w:snapToGrid w:val="0"/>
              <w:spacing w:line="240" w:lineRule="auto"/>
              <w:ind w:left="0" w:leftChars="0" w:right="0" w:rightChars="0" w:firstLine="0" w:firstLineChars="0"/>
              <w:contextualSpacing/>
              <w:jc w:val="center"/>
              <w:rPr>
                <w:rFonts w:ascii="Times New Roman" w:hAnsi="Times New Roman" w:eastAsia="Calibri" w:cs="Times New Roman"/>
                <w:b/>
                <w:spacing w:val="4"/>
                <w:position w:val="2"/>
                <w:sz w:val="18"/>
                <w:szCs w:val="18"/>
                <w:lang w:eastAsia="zh-CN"/>
              </w:rPr>
            </w:pPr>
            <w:r>
              <w:rPr>
                <w:rFonts w:hint="default" w:ascii="Times New Roman" w:hAnsi="Times New Roman" w:eastAsia="Calibri" w:cs="Times New Roman"/>
                <w:b/>
                <w:spacing w:val="4"/>
                <w:position w:val="2"/>
                <w:sz w:val="18"/>
                <w:szCs w:val="18"/>
                <w:lang w:eastAsia="zh-CN"/>
              </w:rPr>
              <w:t>Option</w:t>
            </w:r>
          </w:p>
        </w:tc>
        <w:tc>
          <w:tcPr>
            <w:tcW w:w="1185" w:type="dxa"/>
            <w:tcBorders>
              <w:top w:val="single" w:color="auto" w:sz="12" w:space="0"/>
              <w:bottom w:val="single" w:color="auto" w:sz="8" w:space="0"/>
            </w:tcBorders>
            <w:shd w:val="clear" w:color="auto" w:fill="D7D7D7" w:themeFill="background1" w:themeFillShade="D8"/>
            <w:noWrap w:val="0"/>
            <w:vAlign w:val="center"/>
          </w:tcPr>
          <w:p w14:paraId="7C34C548">
            <w:pPr>
              <w:snapToGrid w:val="0"/>
              <w:spacing w:line="240" w:lineRule="auto"/>
              <w:ind w:left="0" w:leftChars="0" w:right="0" w:rightChars="0" w:firstLine="0" w:firstLineChars="0"/>
              <w:contextualSpacing/>
              <w:jc w:val="center"/>
              <w:rPr>
                <w:rFonts w:ascii="Times New Roman" w:hAnsi="Times New Roman" w:eastAsia="Calibri" w:cs="Times New Roman"/>
                <w:b/>
                <w:spacing w:val="4"/>
                <w:position w:val="2"/>
                <w:sz w:val="18"/>
                <w:szCs w:val="18"/>
                <w:lang w:eastAsia="zh-CN"/>
              </w:rPr>
            </w:pPr>
            <w:r>
              <w:rPr>
                <w:rFonts w:hint="default" w:ascii="Times New Roman" w:hAnsi="Times New Roman" w:eastAsia="Calibri" w:cs="Times New Roman"/>
                <w:b/>
                <w:spacing w:val="4"/>
                <w:position w:val="2"/>
                <w:sz w:val="18"/>
                <w:szCs w:val="18"/>
                <w:lang w:eastAsia="zh-CN"/>
              </w:rPr>
              <w:t>Frequency</w:t>
            </w:r>
          </w:p>
        </w:tc>
        <w:tc>
          <w:tcPr>
            <w:tcW w:w="1462" w:type="dxa"/>
            <w:tcBorders>
              <w:top w:val="single" w:color="auto" w:sz="12" w:space="0"/>
              <w:bottom w:val="single" w:color="auto" w:sz="8" w:space="0"/>
            </w:tcBorders>
            <w:shd w:val="clear" w:color="auto" w:fill="D7D7D7" w:themeFill="background1" w:themeFillShade="D8"/>
            <w:noWrap w:val="0"/>
            <w:vAlign w:val="center"/>
          </w:tcPr>
          <w:p w14:paraId="4655E5F4">
            <w:pPr>
              <w:widowControl/>
              <w:kinsoku/>
              <w:autoSpaceDE/>
              <w:autoSpaceDN/>
              <w:adjustRightInd/>
              <w:snapToGrid w:val="0"/>
              <w:ind w:left="0" w:leftChars="0" w:right="0" w:rightChars="0" w:firstLine="0" w:firstLineChars="0"/>
              <w:jc w:val="center"/>
              <w:textAlignment w:val="center"/>
              <w:rPr>
                <w:rFonts w:ascii="Times New Roman" w:hAnsi="Times New Roman" w:eastAsia="Calibri" w:cs="Times New Roman"/>
                <w:b/>
                <w:spacing w:val="4"/>
                <w:position w:val="2"/>
                <w:sz w:val="18"/>
                <w:szCs w:val="18"/>
                <w:lang w:eastAsia="zh-CN"/>
              </w:rPr>
            </w:pPr>
            <w:r>
              <w:rPr>
                <w:rFonts w:hint="default" w:ascii="Times New Roman" w:hAnsi="Times New Roman" w:eastAsia="Calibri" w:cs="Times New Roman"/>
                <w:b/>
                <w:spacing w:val="4"/>
                <w:position w:val="2"/>
                <w:sz w:val="18"/>
                <w:szCs w:val="18"/>
                <w:lang w:eastAsia="zh-CN"/>
              </w:rPr>
              <w:t>Percentage</w:t>
            </w:r>
            <w:r>
              <w:rPr>
                <w:rFonts w:ascii="Times New Roman" w:hAnsi="Times New Roman" w:eastAsia="Calibri" w:cs="Times New Roman"/>
                <w:b/>
                <w:spacing w:val="4"/>
                <w:position w:val="2"/>
                <w:sz w:val="18"/>
                <w:szCs w:val="18"/>
                <w:lang w:eastAsia="zh-CN"/>
              </w:rPr>
              <w:t>(%)</w:t>
            </w:r>
          </w:p>
        </w:tc>
      </w:tr>
      <w:tr w14:paraId="51C3A042">
        <w:tblPrEx>
          <w:tblCellMar>
            <w:top w:w="0" w:type="dxa"/>
            <w:left w:w="0" w:type="dxa"/>
            <w:bottom w:w="0" w:type="dxa"/>
            <w:right w:w="0" w:type="dxa"/>
          </w:tblCellMar>
        </w:tblPrEx>
        <w:trPr>
          <w:trHeight w:val="0" w:hRule="atLeast"/>
          <w:jc w:val="center"/>
        </w:trPr>
        <w:tc>
          <w:tcPr>
            <w:tcW w:w="2744" w:type="dxa"/>
            <w:vMerge w:val="restart"/>
            <w:tcBorders>
              <w:top w:val="single" w:color="auto" w:sz="8" w:space="0"/>
              <w:left w:val="nil"/>
              <w:bottom w:val="nil"/>
              <w:right w:val="nil"/>
            </w:tcBorders>
            <w:shd w:val="clear" w:color="auto" w:fill="FFFFFF"/>
            <w:noWrap w:val="0"/>
            <w:vAlign w:val="center"/>
          </w:tcPr>
          <w:p w14:paraId="637BC3FE">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Identity Threat Presence (numeric)</w:t>
            </w:r>
          </w:p>
        </w:tc>
        <w:tc>
          <w:tcPr>
            <w:tcW w:w="2193" w:type="dxa"/>
            <w:tcBorders>
              <w:top w:val="single" w:color="auto" w:sz="8" w:space="0"/>
              <w:left w:val="nil"/>
              <w:bottom w:val="nil"/>
              <w:right w:val="nil"/>
            </w:tcBorders>
            <w:shd w:val="clear" w:color="auto" w:fill="FFFFFF"/>
            <w:noWrap w:val="0"/>
            <w:vAlign w:val="center"/>
          </w:tcPr>
          <w:p w14:paraId="55583A02">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No identity threat</w:t>
            </w:r>
          </w:p>
        </w:tc>
        <w:tc>
          <w:tcPr>
            <w:tcW w:w="1185" w:type="dxa"/>
            <w:tcBorders>
              <w:top w:val="single" w:color="auto" w:sz="8" w:space="0"/>
              <w:left w:val="nil"/>
              <w:bottom w:val="nil"/>
              <w:right w:val="nil"/>
            </w:tcBorders>
            <w:shd w:val="clear" w:color="auto" w:fill="FFFFFF"/>
            <w:noWrap w:val="0"/>
            <w:vAlign w:val="center"/>
          </w:tcPr>
          <w:p w14:paraId="02CDB40A">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8</w:t>
            </w:r>
          </w:p>
        </w:tc>
        <w:tc>
          <w:tcPr>
            <w:tcW w:w="1462" w:type="dxa"/>
            <w:tcBorders>
              <w:top w:val="single" w:color="auto" w:sz="8" w:space="0"/>
              <w:left w:val="nil"/>
              <w:bottom w:val="nil"/>
              <w:right w:val="nil"/>
            </w:tcBorders>
            <w:shd w:val="clear" w:color="auto" w:fill="FFFFFF"/>
            <w:noWrap w:val="0"/>
            <w:vAlign w:val="center"/>
          </w:tcPr>
          <w:p w14:paraId="32901A67">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40</w:t>
            </w:r>
          </w:p>
        </w:tc>
      </w:tr>
      <w:tr w14:paraId="1F311E49">
        <w:tblPrEx>
          <w:tblCellMar>
            <w:top w:w="0" w:type="dxa"/>
            <w:left w:w="0" w:type="dxa"/>
            <w:bottom w:w="0" w:type="dxa"/>
            <w:right w:w="0" w:type="dxa"/>
          </w:tblCellMar>
        </w:tblPrEx>
        <w:trPr>
          <w:trHeight w:val="0" w:hRule="atLeast"/>
          <w:jc w:val="center"/>
        </w:trPr>
        <w:tc>
          <w:tcPr>
            <w:tcW w:w="2744" w:type="dxa"/>
            <w:vMerge w:val="continue"/>
            <w:tcBorders>
              <w:top w:val="nil"/>
              <w:left w:val="nil"/>
              <w:bottom w:val="nil"/>
              <w:right w:val="nil"/>
            </w:tcBorders>
            <w:shd w:val="clear" w:color="auto" w:fill="FFFFFF"/>
            <w:noWrap w:val="0"/>
            <w:vAlign w:val="center"/>
          </w:tcPr>
          <w:p w14:paraId="4E50D92D">
            <w:pPr>
              <w:kinsoku/>
              <w:autoSpaceDE/>
              <w:autoSpaceDN/>
              <w:adjustRightInd/>
              <w:jc w:val="left"/>
              <w:textAlignment w:val="center"/>
              <w:rPr>
                <w:rFonts w:ascii="Times New Roman" w:hAnsi="Times New Roman" w:eastAsia="宋体" w:cs="Times New Roman"/>
                <w:snapToGrid/>
                <w:color w:val="000000"/>
                <w:kern w:val="0"/>
                <w:sz w:val="18"/>
                <w:szCs w:val="18"/>
                <w:lang w:eastAsia="zh-CN" w:bidi="ar"/>
              </w:rPr>
              <w:pPrChange w:id="0" w:author="Admin" w:date="2025-12-29T15:21:00Z">
                <w:pPr/>
              </w:pPrChange>
            </w:pPr>
          </w:p>
        </w:tc>
        <w:tc>
          <w:tcPr>
            <w:tcW w:w="2193" w:type="dxa"/>
            <w:tcBorders>
              <w:top w:val="nil"/>
              <w:left w:val="nil"/>
              <w:bottom w:val="nil"/>
              <w:right w:val="nil"/>
            </w:tcBorders>
            <w:shd w:val="clear" w:color="auto" w:fill="FFFFFF"/>
            <w:noWrap w:val="0"/>
            <w:vAlign w:val="center"/>
          </w:tcPr>
          <w:p w14:paraId="03D650F3">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Indirectly mentioned</w:t>
            </w:r>
          </w:p>
        </w:tc>
        <w:tc>
          <w:tcPr>
            <w:tcW w:w="1185" w:type="dxa"/>
            <w:tcBorders>
              <w:top w:val="nil"/>
              <w:left w:val="nil"/>
              <w:bottom w:val="nil"/>
              <w:right w:val="nil"/>
            </w:tcBorders>
            <w:shd w:val="clear" w:color="auto" w:fill="FFFFFF"/>
            <w:noWrap w:val="0"/>
            <w:vAlign w:val="center"/>
          </w:tcPr>
          <w:p w14:paraId="14EDF047">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4</w:t>
            </w:r>
          </w:p>
        </w:tc>
        <w:tc>
          <w:tcPr>
            <w:tcW w:w="1462" w:type="dxa"/>
            <w:tcBorders>
              <w:top w:val="nil"/>
              <w:left w:val="nil"/>
              <w:bottom w:val="nil"/>
              <w:right w:val="nil"/>
            </w:tcBorders>
            <w:shd w:val="clear" w:color="auto" w:fill="FFFFFF"/>
            <w:noWrap w:val="0"/>
            <w:vAlign w:val="center"/>
          </w:tcPr>
          <w:p w14:paraId="7289D1ED">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20</w:t>
            </w:r>
          </w:p>
        </w:tc>
      </w:tr>
      <w:tr w14:paraId="0027AA49">
        <w:tblPrEx>
          <w:tblCellMar>
            <w:top w:w="0" w:type="dxa"/>
            <w:left w:w="0" w:type="dxa"/>
            <w:bottom w:w="0" w:type="dxa"/>
            <w:right w:w="0" w:type="dxa"/>
          </w:tblCellMar>
        </w:tblPrEx>
        <w:trPr>
          <w:trHeight w:val="0" w:hRule="atLeast"/>
          <w:jc w:val="center"/>
        </w:trPr>
        <w:tc>
          <w:tcPr>
            <w:tcW w:w="2744" w:type="dxa"/>
            <w:vMerge w:val="continue"/>
            <w:tcBorders>
              <w:top w:val="nil"/>
              <w:left w:val="nil"/>
              <w:bottom w:val="nil"/>
              <w:right w:val="nil"/>
            </w:tcBorders>
            <w:shd w:val="clear" w:color="auto" w:fill="FFFFFF"/>
            <w:noWrap w:val="0"/>
            <w:vAlign w:val="center"/>
          </w:tcPr>
          <w:p w14:paraId="0FB5DEF8">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p>
        </w:tc>
        <w:tc>
          <w:tcPr>
            <w:tcW w:w="2193" w:type="dxa"/>
            <w:tcBorders>
              <w:top w:val="nil"/>
              <w:left w:val="nil"/>
              <w:bottom w:val="nil"/>
              <w:right w:val="nil"/>
            </w:tcBorders>
            <w:shd w:val="clear" w:color="auto" w:fill="FFFFFF"/>
            <w:noWrap w:val="0"/>
            <w:vAlign w:val="center"/>
          </w:tcPr>
          <w:p w14:paraId="20E29CAF">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Explicitly reported</w:t>
            </w:r>
          </w:p>
        </w:tc>
        <w:tc>
          <w:tcPr>
            <w:tcW w:w="1185" w:type="dxa"/>
            <w:tcBorders>
              <w:top w:val="nil"/>
              <w:left w:val="nil"/>
              <w:bottom w:val="nil"/>
              <w:right w:val="nil"/>
            </w:tcBorders>
            <w:shd w:val="clear" w:color="auto" w:fill="FFFFFF"/>
            <w:noWrap w:val="0"/>
            <w:vAlign w:val="center"/>
          </w:tcPr>
          <w:p w14:paraId="5BBB3F62">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8</w:t>
            </w:r>
          </w:p>
        </w:tc>
        <w:tc>
          <w:tcPr>
            <w:tcW w:w="1462" w:type="dxa"/>
            <w:tcBorders>
              <w:top w:val="nil"/>
              <w:left w:val="nil"/>
              <w:bottom w:val="nil"/>
              <w:right w:val="nil"/>
            </w:tcBorders>
            <w:shd w:val="clear" w:color="auto" w:fill="FFFFFF"/>
            <w:noWrap w:val="0"/>
            <w:vAlign w:val="center"/>
          </w:tcPr>
          <w:p w14:paraId="322832DF">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40</w:t>
            </w:r>
          </w:p>
        </w:tc>
      </w:tr>
      <w:tr w14:paraId="3BAC2847">
        <w:tblPrEx>
          <w:tblCellMar>
            <w:top w:w="0" w:type="dxa"/>
            <w:left w:w="0" w:type="dxa"/>
            <w:bottom w:w="0" w:type="dxa"/>
            <w:right w:w="0" w:type="dxa"/>
          </w:tblCellMar>
        </w:tblPrEx>
        <w:trPr>
          <w:trHeight w:val="0" w:hRule="atLeast"/>
          <w:jc w:val="center"/>
        </w:trPr>
        <w:tc>
          <w:tcPr>
            <w:tcW w:w="2744" w:type="dxa"/>
            <w:vMerge w:val="restart"/>
            <w:tcBorders>
              <w:top w:val="nil"/>
              <w:left w:val="nil"/>
              <w:bottom w:val="nil"/>
              <w:right w:val="nil"/>
            </w:tcBorders>
            <w:shd w:val="clear" w:color="auto" w:fill="FFFFFF"/>
            <w:noWrap w:val="0"/>
            <w:vAlign w:val="center"/>
          </w:tcPr>
          <w:p w14:paraId="3190320E">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Self-Efficacy Presence (numeric)</w:t>
            </w:r>
          </w:p>
        </w:tc>
        <w:tc>
          <w:tcPr>
            <w:tcW w:w="2193" w:type="dxa"/>
            <w:tcBorders>
              <w:top w:val="nil"/>
              <w:left w:val="nil"/>
              <w:bottom w:val="nil"/>
              <w:right w:val="nil"/>
            </w:tcBorders>
            <w:shd w:val="clear" w:color="auto" w:fill="FFFFFF"/>
            <w:noWrap w:val="0"/>
            <w:vAlign w:val="center"/>
          </w:tcPr>
          <w:p w14:paraId="0DD652B5">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Not</w:t>
            </w:r>
            <w:r>
              <w:rPr>
                <w:rFonts w:hint="eastAsia" w:ascii="Times New Roman" w:hAnsi="Times New Roman" w:eastAsia="宋体" w:cs="Times New Roman"/>
                <w:snapToGrid/>
                <w:color w:val="000000"/>
                <w:kern w:val="0"/>
                <w:sz w:val="18"/>
                <w:szCs w:val="18"/>
                <w:lang w:val="en-US" w:eastAsia="zh-CN" w:bidi="ar"/>
              </w:rPr>
              <w:t xml:space="preserve"> </w:t>
            </w:r>
            <w:r>
              <w:rPr>
                <w:rFonts w:ascii="Times New Roman" w:hAnsi="Times New Roman" w:eastAsia="宋体" w:cs="Times New Roman"/>
                <w:snapToGrid/>
                <w:color w:val="000000"/>
                <w:kern w:val="0"/>
                <w:sz w:val="18"/>
                <w:szCs w:val="18"/>
                <w:lang w:eastAsia="zh-CN" w:bidi="ar"/>
              </w:rPr>
              <w:t>measured/mentioned</w:t>
            </w:r>
          </w:p>
        </w:tc>
        <w:tc>
          <w:tcPr>
            <w:tcW w:w="1185" w:type="dxa"/>
            <w:tcBorders>
              <w:top w:val="nil"/>
              <w:left w:val="nil"/>
              <w:bottom w:val="nil"/>
              <w:right w:val="nil"/>
            </w:tcBorders>
            <w:shd w:val="clear" w:color="auto" w:fill="FFFFFF"/>
            <w:noWrap w:val="0"/>
            <w:vAlign w:val="center"/>
          </w:tcPr>
          <w:p w14:paraId="1CA7B5F0">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3</w:t>
            </w:r>
          </w:p>
        </w:tc>
        <w:tc>
          <w:tcPr>
            <w:tcW w:w="1462" w:type="dxa"/>
            <w:tcBorders>
              <w:top w:val="nil"/>
              <w:left w:val="nil"/>
              <w:bottom w:val="nil"/>
              <w:right w:val="nil"/>
            </w:tcBorders>
            <w:shd w:val="clear" w:color="auto" w:fill="FFFFFF"/>
            <w:noWrap w:val="0"/>
            <w:vAlign w:val="center"/>
          </w:tcPr>
          <w:p w14:paraId="4BD7F553">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15</w:t>
            </w:r>
          </w:p>
        </w:tc>
      </w:tr>
      <w:tr w14:paraId="06534F7C">
        <w:tblPrEx>
          <w:tblCellMar>
            <w:top w:w="0" w:type="dxa"/>
            <w:left w:w="0" w:type="dxa"/>
            <w:bottom w:w="0" w:type="dxa"/>
            <w:right w:w="0" w:type="dxa"/>
          </w:tblCellMar>
        </w:tblPrEx>
        <w:trPr>
          <w:trHeight w:val="0" w:hRule="atLeast"/>
          <w:jc w:val="center"/>
        </w:trPr>
        <w:tc>
          <w:tcPr>
            <w:tcW w:w="2744" w:type="dxa"/>
            <w:vMerge w:val="continue"/>
            <w:tcBorders>
              <w:top w:val="nil"/>
              <w:left w:val="nil"/>
              <w:bottom w:val="nil"/>
              <w:right w:val="nil"/>
            </w:tcBorders>
            <w:shd w:val="clear" w:color="auto" w:fill="FFFFFF"/>
            <w:noWrap w:val="0"/>
            <w:vAlign w:val="center"/>
          </w:tcPr>
          <w:p w14:paraId="2BB64F7C">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p>
        </w:tc>
        <w:tc>
          <w:tcPr>
            <w:tcW w:w="2193" w:type="dxa"/>
            <w:tcBorders>
              <w:top w:val="nil"/>
              <w:left w:val="nil"/>
              <w:bottom w:val="nil"/>
              <w:right w:val="nil"/>
            </w:tcBorders>
            <w:shd w:val="clear" w:color="auto" w:fill="FFFFFF"/>
            <w:noWrap w:val="0"/>
            <w:vAlign w:val="center"/>
          </w:tcPr>
          <w:p w14:paraId="0715C825">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Indirect/implicit</w:t>
            </w:r>
          </w:p>
        </w:tc>
        <w:tc>
          <w:tcPr>
            <w:tcW w:w="1185" w:type="dxa"/>
            <w:tcBorders>
              <w:top w:val="nil"/>
              <w:left w:val="nil"/>
              <w:bottom w:val="nil"/>
              <w:right w:val="nil"/>
            </w:tcBorders>
            <w:shd w:val="clear" w:color="auto" w:fill="FFFFFF"/>
            <w:noWrap w:val="0"/>
            <w:vAlign w:val="center"/>
          </w:tcPr>
          <w:p w14:paraId="71D3D6EB">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7</w:t>
            </w:r>
          </w:p>
        </w:tc>
        <w:tc>
          <w:tcPr>
            <w:tcW w:w="1462" w:type="dxa"/>
            <w:tcBorders>
              <w:top w:val="nil"/>
              <w:left w:val="nil"/>
              <w:bottom w:val="nil"/>
              <w:right w:val="nil"/>
            </w:tcBorders>
            <w:shd w:val="clear" w:color="auto" w:fill="FFFFFF"/>
            <w:noWrap w:val="0"/>
            <w:vAlign w:val="center"/>
          </w:tcPr>
          <w:p w14:paraId="064005B8">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35</w:t>
            </w:r>
          </w:p>
        </w:tc>
      </w:tr>
      <w:tr w14:paraId="7010D549">
        <w:tblPrEx>
          <w:shd w:val="clear" w:color="auto" w:fill="FFFFFF"/>
          <w:tblCellMar>
            <w:top w:w="0" w:type="dxa"/>
            <w:left w:w="0" w:type="dxa"/>
            <w:bottom w:w="0" w:type="dxa"/>
            <w:right w:w="0" w:type="dxa"/>
          </w:tblCellMar>
        </w:tblPrEx>
        <w:trPr>
          <w:trHeight w:val="0" w:hRule="atLeast"/>
          <w:jc w:val="center"/>
        </w:trPr>
        <w:tc>
          <w:tcPr>
            <w:tcW w:w="2744" w:type="dxa"/>
            <w:vMerge w:val="continue"/>
            <w:tcBorders>
              <w:top w:val="nil"/>
              <w:left w:val="nil"/>
              <w:bottom w:val="nil"/>
              <w:right w:val="nil"/>
            </w:tcBorders>
            <w:shd w:val="clear" w:color="auto" w:fill="FFFFFF"/>
            <w:noWrap w:val="0"/>
            <w:vAlign w:val="center"/>
          </w:tcPr>
          <w:p w14:paraId="28C9718C">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p>
        </w:tc>
        <w:tc>
          <w:tcPr>
            <w:tcW w:w="2193" w:type="dxa"/>
            <w:tcBorders>
              <w:top w:val="nil"/>
              <w:left w:val="nil"/>
              <w:bottom w:val="nil"/>
              <w:right w:val="nil"/>
            </w:tcBorders>
            <w:shd w:val="clear" w:color="auto" w:fill="FFFFFF"/>
            <w:noWrap w:val="0"/>
            <w:vAlign w:val="center"/>
          </w:tcPr>
          <w:p w14:paraId="2291918C">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Explicitly measured</w:t>
            </w:r>
          </w:p>
        </w:tc>
        <w:tc>
          <w:tcPr>
            <w:tcW w:w="1185" w:type="dxa"/>
            <w:tcBorders>
              <w:top w:val="nil"/>
              <w:left w:val="nil"/>
              <w:bottom w:val="nil"/>
              <w:right w:val="nil"/>
            </w:tcBorders>
            <w:shd w:val="clear" w:color="auto" w:fill="FFFFFF"/>
            <w:noWrap w:val="0"/>
            <w:vAlign w:val="center"/>
          </w:tcPr>
          <w:p w14:paraId="59A95B54">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10</w:t>
            </w:r>
          </w:p>
        </w:tc>
        <w:tc>
          <w:tcPr>
            <w:tcW w:w="1462" w:type="dxa"/>
            <w:tcBorders>
              <w:top w:val="nil"/>
              <w:left w:val="nil"/>
              <w:bottom w:val="nil"/>
              <w:right w:val="nil"/>
            </w:tcBorders>
            <w:shd w:val="clear" w:color="auto" w:fill="FFFFFF"/>
            <w:noWrap w:val="0"/>
            <w:vAlign w:val="center"/>
          </w:tcPr>
          <w:p w14:paraId="54D82A8B">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50</w:t>
            </w:r>
          </w:p>
        </w:tc>
      </w:tr>
      <w:tr w14:paraId="64CE0B79">
        <w:tblPrEx>
          <w:shd w:val="clear" w:color="auto" w:fill="FFFFFF"/>
          <w:tblCellMar>
            <w:top w:w="0" w:type="dxa"/>
            <w:left w:w="0" w:type="dxa"/>
            <w:bottom w:w="0" w:type="dxa"/>
            <w:right w:w="0" w:type="dxa"/>
          </w:tblCellMar>
        </w:tblPrEx>
        <w:trPr>
          <w:trHeight w:val="0" w:hRule="atLeast"/>
          <w:jc w:val="center"/>
        </w:trPr>
        <w:tc>
          <w:tcPr>
            <w:tcW w:w="2744" w:type="dxa"/>
            <w:vMerge w:val="restart"/>
            <w:tcBorders>
              <w:top w:val="nil"/>
              <w:left w:val="nil"/>
              <w:bottom w:val="nil"/>
              <w:right w:val="nil"/>
            </w:tcBorders>
            <w:shd w:val="clear" w:color="auto" w:fill="FFFFFF"/>
            <w:noWrap w:val="0"/>
            <w:vAlign w:val="center"/>
          </w:tcPr>
          <w:p w14:paraId="1E651155">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Self-Efficacy Direction (numeric)</w:t>
            </w:r>
          </w:p>
        </w:tc>
        <w:tc>
          <w:tcPr>
            <w:tcW w:w="2193" w:type="dxa"/>
            <w:tcBorders>
              <w:top w:val="nil"/>
              <w:left w:val="nil"/>
              <w:bottom w:val="nil"/>
              <w:right w:val="nil"/>
            </w:tcBorders>
            <w:shd w:val="clear" w:color="auto" w:fill="FFFFFF"/>
            <w:noWrap w:val="0"/>
            <w:vAlign w:val="center"/>
          </w:tcPr>
          <w:p w14:paraId="5905B2C6">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Not applicable/measured</w:t>
            </w:r>
          </w:p>
        </w:tc>
        <w:tc>
          <w:tcPr>
            <w:tcW w:w="1185" w:type="dxa"/>
            <w:tcBorders>
              <w:top w:val="nil"/>
              <w:left w:val="nil"/>
              <w:bottom w:val="nil"/>
              <w:right w:val="nil"/>
            </w:tcBorders>
            <w:shd w:val="clear" w:color="auto" w:fill="FFFFFF"/>
            <w:noWrap w:val="0"/>
            <w:vAlign w:val="center"/>
          </w:tcPr>
          <w:p w14:paraId="38E38B0C">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4</w:t>
            </w:r>
          </w:p>
        </w:tc>
        <w:tc>
          <w:tcPr>
            <w:tcW w:w="1462" w:type="dxa"/>
            <w:tcBorders>
              <w:top w:val="nil"/>
              <w:left w:val="nil"/>
              <w:bottom w:val="nil"/>
              <w:right w:val="nil"/>
            </w:tcBorders>
            <w:shd w:val="clear" w:color="auto" w:fill="FFFFFF"/>
            <w:noWrap w:val="0"/>
            <w:vAlign w:val="center"/>
          </w:tcPr>
          <w:p w14:paraId="55499632">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20</w:t>
            </w:r>
          </w:p>
        </w:tc>
      </w:tr>
      <w:tr w14:paraId="07DAF685">
        <w:tblPrEx>
          <w:shd w:val="clear" w:color="auto" w:fill="FFFFFF"/>
          <w:tblCellMar>
            <w:top w:w="0" w:type="dxa"/>
            <w:left w:w="0" w:type="dxa"/>
            <w:bottom w:w="0" w:type="dxa"/>
            <w:right w:w="0" w:type="dxa"/>
          </w:tblCellMar>
        </w:tblPrEx>
        <w:trPr>
          <w:trHeight w:val="0" w:hRule="atLeast"/>
          <w:jc w:val="center"/>
        </w:trPr>
        <w:tc>
          <w:tcPr>
            <w:tcW w:w="2744" w:type="dxa"/>
            <w:vMerge w:val="continue"/>
            <w:tcBorders>
              <w:top w:val="nil"/>
              <w:left w:val="nil"/>
              <w:bottom w:val="nil"/>
              <w:right w:val="nil"/>
            </w:tcBorders>
            <w:shd w:val="clear" w:color="auto" w:fill="FFFFFF"/>
            <w:noWrap w:val="0"/>
            <w:vAlign w:val="center"/>
          </w:tcPr>
          <w:p w14:paraId="42A83363">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p>
        </w:tc>
        <w:tc>
          <w:tcPr>
            <w:tcW w:w="2193" w:type="dxa"/>
            <w:tcBorders>
              <w:top w:val="nil"/>
              <w:left w:val="nil"/>
              <w:bottom w:val="nil"/>
              <w:right w:val="nil"/>
            </w:tcBorders>
            <w:shd w:val="clear" w:color="auto" w:fill="FFFFFF"/>
            <w:noWrap w:val="0"/>
            <w:vAlign w:val="center"/>
          </w:tcPr>
          <w:p w14:paraId="5701925C">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Reduced/negative</w:t>
            </w:r>
          </w:p>
        </w:tc>
        <w:tc>
          <w:tcPr>
            <w:tcW w:w="1185" w:type="dxa"/>
            <w:tcBorders>
              <w:top w:val="nil"/>
              <w:left w:val="nil"/>
              <w:bottom w:val="nil"/>
              <w:right w:val="nil"/>
            </w:tcBorders>
            <w:shd w:val="clear" w:color="auto" w:fill="FFFFFF"/>
            <w:noWrap w:val="0"/>
            <w:vAlign w:val="center"/>
          </w:tcPr>
          <w:p w14:paraId="4F944AF7">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1</w:t>
            </w:r>
          </w:p>
        </w:tc>
        <w:tc>
          <w:tcPr>
            <w:tcW w:w="1462" w:type="dxa"/>
            <w:tcBorders>
              <w:top w:val="nil"/>
              <w:left w:val="nil"/>
              <w:bottom w:val="nil"/>
              <w:right w:val="nil"/>
            </w:tcBorders>
            <w:shd w:val="clear" w:color="auto" w:fill="FFFFFF"/>
            <w:noWrap w:val="0"/>
            <w:vAlign w:val="center"/>
          </w:tcPr>
          <w:p w14:paraId="5E9ECDE0">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5</w:t>
            </w:r>
          </w:p>
        </w:tc>
      </w:tr>
      <w:tr w14:paraId="27B14583">
        <w:tblPrEx>
          <w:shd w:val="clear" w:color="auto" w:fill="FFFFFF"/>
          <w:tblCellMar>
            <w:top w:w="0" w:type="dxa"/>
            <w:left w:w="0" w:type="dxa"/>
            <w:bottom w:w="0" w:type="dxa"/>
            <w:right w:w="0" w:type="dxa"/>
          </w:tblCellMar>
        </w:tblPrEx>
        <w:trPr>
          <w:trHeight w:val="0" w:hRule="atLeast"/>
          <w:jc w:val="center"/>
        </w:trPr>
        <w:tc>
          <w:tcPr>
            <w:tcW w:w="2744" w:type="dxa"/>
            <w:vMerge w:val="continue"/>
            <w:tcBorders>
              <w:top w:val="nil"/>
              <w:left w:val="nil"/>
              <w:bottom w:val="nil"/>
              <w:right w:val="nil"/>
            </w:tcBorders>
            <w:shd w:val="clear" w:color="auto" w:fill="FFFFFF"/>
            <w:noWrap w:val="0"/>
            <w:vAlign w:val="center"/>
          </w:tcPr>
          <w:p w14:paraId="3D6B21BF">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p>
        </w:tc>
        <w:tc>
          <w:tcPr>
            <w:tcW w:w="2193" w:type="dxa"/>
            <w:tcBorders>
              <w:top w:val="nil"/>
              <w:left w:val="nil"/>
              <w:bottom w:val="nil"/>
              <w:right w:val="nil"/>
            </w:tcBorders>
            <w:shd w:val="clear" w:color="auto" w:fill="FFFFFF"/>
            <w:noWrap w:val="0"/>
            <w:vAlign w:val="center"/>
          </w:tcPr>
          <w:p w14:paraId="623BF1CB">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Mixed/both</w:t>
            </w:r>
          </w:p>
        </w:tc>
        <w:tc>
          <w:tcPr>
            <w:tcW w:w="1185" w:type="dxa"/>
            <w:tcBorders>
              <w:top w:val="nil"/>
              <w:left w:val="nil"/>
              <w:bottom w:val="nil"/>
              <w:right w:val="nil"/>
            </w:tcBorders>
            <w:shd w:val="clear" w:color="auto" w:fill="FFFFFF"/>
            <w:noWrap w:val="0"/>
            <w:vAlign w:val="center"/>
          </w:tcPr>
          <w:p w14:paraId="029A9576">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8</w:t>
            </w:r>
          </w:p>
        </w:tc>
        <w:tc>
          <w:tcPr>
            <w:tcW w:w="1462" w:type="dxa"/>
            <w:tcBorders>
              <w:top w:val="nil"/>
              <w:left w:val="nil"/>
              <w:bottom w:val="nil"/>
              <w:right w:val="nil"/>
            </w:tcBorders>
            <w:shd w:val="clear" w:color="auto" w:fill="FFFFFF"/>
            <w:noWrap w:val="0"/>
            <w:vAlign w:val="center"/>
          </w:tcPr>
          <w:p w14:paraId="16BE7001">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40</w:t>
            </w:r>
          </w:p>
        </w:tc>
      </w:tr>
      <w:tr w14:paraId="701EC6DD">
        <w:tblPrEx>
          <w:tblCellMar>
            <w:top w:w="0" w:type="dxa"/>
            <w:left w:w="0" w:type="dxa"/>
            <w:bottom w:w="0" w:type="dxa"/>
            <w:right w:w="0" w:type="dxa"/>
          </w:tblCellMar>
        </w:tblPrEx>
        <w:trPr>
          <w:trHeight w:val="0" w:hRule="atLeast"/>
          <w:jc w:val="center"/>
        </w:trPr>
        <w:tc>
          <w:tcPr>
            <w:tcW w:w="2744" w:type="dxa"/>
            <w:vMerge w:val="continue"/>
            <w:tcBorders>
              <w:top w:val="nil"/>
              <w:left w:val="nil"/>
              <w:bottom w:val="nil"/>
              <w:right w:val="nil"/>
            </w:tcBorders>
            <w:shd w:val="clear" w:color="auto" w:fill="FFFFFF"/>
            <w:noWrap w:val="0"/>
            <w:vAlign w:val="center"/>
          </w:tcPr>
          <w:p w14:paraId="51390008">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p>
        </w:tc>
        <w:tc>
          <w:tcPr>
            <w:tcW w:w="2193" w:type="dxa"/>
            <w:tcBorders>
              <w:top w:val="nil"/>
              <w:left w:val="nil"/>
              <w:bottom w:val="nil"/>
              <w:right w:val="nil"/>
            </w:tcBorders>
            <w:shd w:val="clear" w:color="auto" w:fill="FFFFFF"/>
            <w:noWrap w:val="0"/>
            <w:vAlign w:val="center"/>
          </w:tcPr>
          <w:p w14:paraId="76828495">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Enhanced/positive</w:t>
            </w:r>
          </w:p>
        </w:tc>
        <w:tc>
          <w:tcPr>
            <w:tcW w:w="1185" w:type="dxa"/>
            <w:tcBorders>
              <w:top w:val="nil"/>
              <w:left w:val="nil"/>
              <w:bottom w:val="nil"/>
              <w:right w:val="nil"/>
            </w:tcBorders>
            <w:shd w:val="clear" w:color="auto" w:fill="FFFFFF"/>
            <w:noWrap w:val="0"/>
            <w:vAlign w:val="center"/>
          </w:tcPr>
          <w:p w14:paraId="092EBBBE">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7</w:t>
            </w:r>
          </w:p>
        </w:tc>
        <w:tc>
          <w:tcPr>
            <w:tcW w:w="1462" w:type="dxa"/>
            <w:tcBorders>
              <w:top w:val="nil"/>
              <w:left w:val="nil"/>
              <w:bottom w:val="nil"/>
              <w:right w:val="nil"/>
            </w:tcBorders>
            <w:shd w:val="clear" w:color="auto" w:fill="FFFFFF"/>
            <w:noWrap w:val="0"/>
            <w:vAlign w:val="center"/>
          </w:tcPr>
          <w:p w14:paraId="5A7E3170">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35</w:t>
            </w:r>
          </w:p>
        </w:tc>
      </w:tr>
      <w:tr w14:paraId="22439D50">
        <w:tblPrEx>
          <w:shd w:val="clear" w:color="auto" w:fill="FFFFFF"/>
          <w:tblCellMar>
            <w:top w:w="0" w:type="dxa"/>
            <w:left w:w="0" w:type="dxa"/>
            <w:bottom w:w="0" w:type="dxa"/>
            <w:right w:w="0" w:type="dxa"/>
          </w:tblCellMar>
        </w:tblPrEx>
        <w:trPr>
          <w:trHeight w:val="0" w:hRule="atLeast"/>
          <w:jc w:val="center"/>
        </w:trPr>
        <w:tc>
          <w:tcPr>
            <w:tcW w:w="2744" w:type="dxa"/>
            <w:vMerge w:val="restart"/>
            <w:tcBorders>
              <w:top w:val="nil"/>
              <w:left w:val="nil"/>
              <w:bottom w:val="nil"/>
              <w:right w:val="nil"/>
            </w:tcBorders>
            <w:shd w:val="clear" w:color="auto" w:fill="FFFFFF"/>
            <w:noWrap w:val="0"/>
            <w:vAlign w:val="center"/>
          </w:tcPr>
          <w:p w14:paraId="5845CB0C">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Self-Efficacy Severity (numeric)</w:t>
            </w:r>
          </w:p>
        </w:tc>
        <w:tc>
          <w:tcPr>
            <w:tcW w:w="2193" w:type="dxa"/>
            <w:tcBorders>
              <w:top w:val="nil"/>
              <w:left w:val="nil"/>
              <w:bottom w:val="nil"/>
              <w:right w:val="nil"/>
            </w:tcBorders>
            <w:shd w:val="clear" w:color="auto" w:fill="FFFFFF"/>
            <w:noWrap w:val="0"/>
            <w:vAlign w:val="center"/>
          </w:tcPr>
          <w:p w14:paraId="764703D9">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Not applicable</w:t>
            </w:r>
          </w:p>
        </w:tc>
        <w:tc>
          <w:tcPr>
            <w:tcW w:w="1185" w:type="dxa"/>
            <w:tcBorders>
              <w:top w:val="nil"/>
              <w:left w:val="nil"/>
              <w:bottom w:val="nil"/>
              <w:right w:val="nil"/>
            </w:tcBorders>
            <w:shd w:val="clear" w:color="auto" w:fill="FFFFFF"/>
            <w:noWrap w:val="0"/>
            <w:vAlign w:val="center"/>
          </w:tcPr>
          <w:p w14:paraId="29A0E086">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4</w:t>
            </w:r>
          </w:p>
        </w:tc>
        <w:tc>
          <w:tcPr>
            <w:tcW w:w="1462" w:type="dxa"/>
            <w:tcBorders>
              <w:top w:val="nil"/>
              <w:left w:val="nil"/>
              <w:bottom w:val="nil"/>
              <w:right w:val="nil"/>
            </w:tcBorders>
            <w:shd w:val="clear" w:color="auto" w:fill="FFFFFF"/>
            <w:noWrap w:val="0"/>
            <w:vAlign w:val="center"/>
          </w:tcPr>
          <w:p w14:paraId="5919B994">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20</w:t>
            </w:r>
          </w:p>
        </w:tc>
      </w:tr>
      <w:tr w14:paraId="03923DC6">
        <w:tblPrEx>
          <w:shd w:val="clear" w:color="auto" w:fill="FFFFFF"/>
          <w:tblCellMar>
            <w:top w:w="0" w:type="dxa"/>
            <w:left w:w="0" w:type="dxa"/>
            <w:bottom w:w="0" w:type="dxa"/>
            <w:right w:w="0" w:type="dxa"/>
          </w:tblCellMar>
        </w:tblPrEx>
        <w:trPr>
          <w:trHeight w:val="0" w:hRule="atLeast"/>
          <w:jc w:val="center"/>
        </w:trPr>
        <w:tc>
          <w:tcPr>
            <w:tcW w:w="2744" w:type="dxa"/>
            <w:vMerge w:val="continue"/>
            <w:tcBorders>
              <w:top w:val="nil"/>
              <w:left w:val="nil"/>
              <w:bottom w:val="nil"/>
              <w:right w:val="nil"/>
            </w:tcBorders>
            <w:shd w:val="clear" w:color="auto" w:fill="FFFFFF"/>
            <w:noWrap w:val="0"/>
            <w:vAlign w:val="center"/>
          </w:tcPr>
          <w:p w14:paraId="647611AE">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p>
        </w:tc>
        <w:tc>
          <w:tcPr>
            <w:tcW w:w="2193" w:type="dxa"/>
            <w:tcBorders>
              <w:top w:val="nil"/>
              <w:left w:val="nil"/>
              <w:bottom w:val="nil"/>
              <w:right w:val="nil"/>
            </w:tcBorders>
            <w:shd w:val="clear" w:color="auto" w:fill="FFFFFF"/>
            <w:noWrap w:val="0"/>
            <w:vAlign w:val="center"/>
          </w:tcPr>
          <w:p w14:paraId="7DA52C9C">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Moderate</w:t>
            </w:r>
          </w:p>
        </w:tc>
        <w:tc>
          <w:tcPr>
            <w:tcW w:w="1185" w:type="dxa"/>
            <w:tcBorders>
              <w:top w:val="nil"/>
              <w:left w:val="nil"/>
              <w:bottom w:val="nil"/>
              <w:right w:val="nil"/>
            </w:tcBorders>
            <w:shd w:val="clear" w:color="auto" w:fill="FFFFFF"/>
            <w:noWrap w:val="0"/>
            <w:vAlign w:val="center"/>
          </w:tcPr>
          <w:p w14:paraId="1F3AD071">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13</w:t>
            </w:r>
          </w:p>
        </w:tc>
        <w:tc>
          <w:tcPr>
            <w:tcW w:w="1462" w:type="dxa"/>
            <w:tcBorders>
              <w:top w:val="nil"/>
              <w:left w:val="nil"/>
              <w:bottom w:val="nil"/>
              <w:right w:val="nil"/>
            </w:tcBorders>
            <w:shd w:val="clear" w:color="auto" w:fill="FFFFFF"/>
            <w:noWrap w:val="0"/>
            <w:vAlign w:val="center"/>
          </w:tcPr>
          <w:p w14:paraId="09733948">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65</w:t>
            </w:r>
          </w:p>
        </w:tc>
      </w:tr>
      <w:tr w14:paraId="5B9B9BBB">
        <w:tblPrEx>
          <w:shd w:val="clear" w:color="auto" w:fill="FFFFFF"/>
          <w:tblCellMar>
            <w:top w:w="0" w:type="dxa"/>
            <w:left w:w="0" w:type="dxa"/>
            <w:bottom w:w="0" w:type="dxa"/>
            <w:right w:w="0" w:type="dxa"/>
          </w:tblCellMar>
        </w:tblPrEx>
        <w:trPr>
          <w:trHeight w:val="0" w:hRule="atLeast"/>
          <w:jc w:val="center"/>
        </w:trPr>
        <w:tc>
          <w:tcPr>
            <w:tcW w:w="2744" w:type="dxa"/>
            <w:vMerge w:val="continue"/>
            <w:tcBorders>
              <w:top w:val="nil"/>
              <w:left w:val="nil"/>
              <w:bottom w:val="nil"/>
              <w:right w:val="nil"/>
            </w:tcBorders>
            <w:shd w:val="clear" w:color="auto" w:fill="FFFFFF"/>
            <w:noWrap w:val="0"/>
            <w:vAlign w:val="center"/>
          </w:tcPr>
          <w:p w14:paraId="3E85DCE8">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p>
        </w:tc>
        <w:tc>
          <w:tcPr>
            <w:tcW w:w="2193" w:type="dxa"/>
            <w:tcBorders>
              <w:top w:val="nil"/>
              <w:left w:val="nil"/>
              <w:bottom w:val="nil"/>
              <w:right w:val="nil"/>
            </w:tcBorders>
            <w:shd w:val="clear" w:color="auto" w:fill="FFFFFF"/>
            <w:noWrap w:val="0"/>
            <w:vAlign w:val="center"/>
          </w:tcPr>
          <w:p w14:paraId="7D335CFE">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High/Significant</w:t>
            </w:r>
          </w:p>
        </w:tc>
        <w:tc>
          <w:tcPr>
            <w:tcW w:w="1185" w:type="dxa"/>
            <w:tcBorders>
              <w:top w:val="nil"/>
              <w:left w:val="nil"/>
              <w:bottom w:val="nil"/>
              <w:right w:val="nil"/>
            </w:tcBorders>
            <w:shd w:val="clear" w:color="auto" w:fill="FFFFFF"/>
            <w:noWrap w:val="0"/>
            <w:vAlign w:val="center"/>
          </w:tcPr>
          <w:p w14:paraId="2D833242">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3</w:t>
            </w:r>
          </w:p>
        </w:tc>
        <w:tc>
          <w:tcPr>
            <w:tcW w:w="1462" w:type="dxa"/>
            <w:tcBorders>
              <w:top w:val="nil"/>
              <w:left w:val="nil"/>
              <w:bottom w:val="nil"/>
              <w:right w:val="nil"/>
            </w:tcBorders>
            <w:shd w:val="clear" w:color="auto" w:fill="FFFFFF"/>
            <w:noWrap w:val="0"/>
            <w:vAlign w:val="center"/>
          </w:tcPr>
          <w:p w14:paraId="327BFCC1">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15</w:t>
            </w:r>
          </w:p>
        </w:tc>
      </w:tr>
      <w:tr w14:paraId="1FA5F2AE">
        <w:tblPrEx>
          <w:tblCellMar>
            <w:top w:w="0" w:type="dxa"/>
            <w:left w:w="0" w:type="dxa"/>
            <w:bottom w:w="0" w:type="dxa"/>
            <w:right w:w="0" w:type="dxa"/>
          </w:tblCellMar>
        </w:tblPrEx>
        <w:trPr>
          <w:trHeight w:val="0" w:hRule="atLeast"/>
          <w:jc w:val="center"/>
        </w:trPr>
        <w:tc>
          <w:tcPr>
            <w:tcW w:w="2744" w:type="dxa"/>
            <w:vMerge w:val="restart"/>
            <w:tcBorders>
              <w:top w:val="nil"/>
              <w:left w:val="nil"/>
              <w:bottom w:val="nil"/>
              <w:right w:val="nil"/>
            </w:tcBorders>
            <w:shd w:val="clear" w:color="auto" w:fill="FFFFFF"/>
            <w:noWrap w:val="0"/>
            <w:vAlign w:val="center"/>
          </w:tcPr>
          <w:p w14:paraId="5B1E72FE">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Career Anxiety(0-1)</w:t>
            </w:r>
          </w:p>
        </w:tc>
        <w:tc>
          <w:tcPr>
            <w:tcW w:w="2193" w:type="dxa"/>
            <w:tcBorders>
              <w:top w:val="nil"/>
              <w:left w:val="nil"/>
              <w:bottom w:val="nil"/>
              <w:right w:val="nil"/>
            </w:tcBorders>
            <w:shd w:val="clear" w:color="auto" w:fill="FFFFFF"/>
            <w:noWrap w:val="0"/>
            <w:vAlign w:val="center"/>
          </w:tcPr>
          <w:p w14:paraId="563CFDED">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No</w:t>
            </w:r>
          </w:p>
        </w:tc>
        <w:tc>
          <w:tcPr>
            <w:tcW w:w="1185" w:type="dxa"/>
            <w:tcBorders>
              <w:top w:val="nil"/>
              <w:left w:val="nil"/>
              <w:bottom w:val="nil"/>
              <w:right w:val="nil"/>
            </w:tcBorders>
            <w:shd w:val="clear" w:color="auto" w:fill="FFFFFF"/>
            <w:noWrap w:val="0"/>
            <w:vAlign w:val="center"/>
          </w:tcPr>
          <w:p w14:paraId="2EB94B66">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13</w:t>
            </w:r>
          </w:p>
        </w:tc>
        <w:tc>
          <w:tcPr>
            <w:tcW w:w="1462" w:type="dxa"/>
            <w:tcBorders>
              <w:top w:val="nil"/>
              <w:left w:val="nil"/>
              <w:bottom w:val="nil"/>
              <w:right w:val="nil"/>
            </w:tcBorders>
            <w:shd w:val="clear" w:color="auto" w:fill="FFFFFF"/>
            <w:noWrap w:val="0"/>
            <w:vAlign w:val="center"/>
          </w:tcPr>
          <w:p w14:paraId="19E59167">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65</w:t>
            </w:r>
          </w:p>
        </w:tc>
      </w:tr>
      <w:tr w14:paraId="3B449201">
        <w:tblPrEx>
          <w:tblCellMar>
            <w:top w:w="0" w:type="dxa"/>
            <w:left w:w="0" w:type="dxa"/>
            <w:bottom w:w="0" w:type="dxa"/>
            <w:right w:w="0" w:type="dxa"/>
          </w:tblCellMar>
        </w:tblPrEx>
        <w:trPr>
          <w:trHeight w:val="0" w:hRule="atLeast"/>
          <w:jc w:val="center"/>
        </w:trPr>
        <w:tc>
          <w:tcPr>
            <w:tcW w:w="2744" w:type="dxa"/>
            <w:vMerge w:val="continue"/>
            <w:tcBorders>
              <w:top w:val="nil"/>
              <w:left w:val="nil"/>
              <w:bottom w:val="nil"/>
              <w:right w:val="nil"/>
            </w:tcBorders>
            <w:shd w:val="clear" w:color="auto" w:fill="FFFFFF"/>
            <w:noWrap w:val="0"/>
            <w:vAlign w:val="center"/>
          </w:tcPr>
          <w:p w14:paraId="672C83BC">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p>
        </w:tc>
        <w:tc>
          <w:tcPr>
            <w:tcW w:w="2193" w:type="dxa"/>
            <w:tcBorders>
              <w:top w:val="nil"/>
              <w:left w:val="nil"/>
              <w:bottom w:val="nil"/>
              <w:right w:val="nil"/>
            </w:tcBorders>
            <w:shd w:val="clear" w:color="auto" w:fill="FFFFFF"/>
            <w:noWrap w:val="0"/>
            <w:vAlign w:val="center"/>
          </w:tcPr>
          <w:p w14:paraId="34E5FD76">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Yes</w:t>
            </w:r>
          </w:p>
        </w:tc>
        <w:tc>
          <w:tcPr>
            <w:tcW w:w="1185" w:type="dxa"/>
            <w:tcBorders>
              <w:top w:val="nil"/>
              <w:left w:val="nil"/>
              <w:bottom w:val="nil"/>
              <w:right w:val="nil"/>
            </w:tcBorders>
            <w:shd w:val="clear" w:color="auto" w:fill="FFFFFF"/>
            <w:noWrap w:val="0"/>
            <w:vAlign w:val="center"/>
          </w:tcPr>
          <w:p w14:paraId="79CFF7FF">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7</w:t>
            </w:r>
          </w:p>
        </w:tc>
        <w:tc>
          <w:tcPr>
            <w:tcW w:w="1462" w:type="dxa"/>
            <w:tcBorders>
              <w:top w:val="nil"/>
              <w:left w:val="nil"/>
              <w:bottom w:val="nil"/>
              <w:right w:val="nil"/>
            </w:tcBorders>
            <w:shd w:val="clear" w:color="auto" w:fill="FFFFFF"/>
            <w:noWrap w:val="0"/>
            <w:vAlign w:val="center"/>
          </w:tcPr>
          <w:p w14:paraId="2EEDA3A6">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35</w:t>
            </w:r>
          </w:p>
        </w:tc>
      </w:tr>
      <w:tr w14:paraId="2BFEB144">
        <w:tblPrEx>
          <w:shd w:val="clear" w:color="auto" w:fill="FFFFFF"/>
          <w:tblCellMar>
            <w:top w:w="0" w:type="dxa"/>
            <w:left w:w="0" w:type="dxa"/>
            <w:bottom w:w="0" w:type="dxa"/>
            <w:right w:w="0" w:type="dxa"/>
          </w:tblCellMar>
        </w:tblPrEx>
        <w:trPr>
          <w:trHeight w:val="0" w:hRule="atLeast"/>
          <w:jc w:val="center"/>
        </w:trPr>
        <w:tc>
          <w:tcPr>
            <w:tcW w:w="2744" w:type="dxa"/>
            <w:vMerge w:val="restart"/>
            <w:tcBorders>
              <w:top w:val="nil"/>
              <w:left w:val="nil"/>
              <w:bottom w:val="nil"/>
              <w:right w:val="nil"/>
            </w:tcBorders>
            <w:shd w:val="clear" w:color="auto" w:fill="FFFFFF"/>
            <w:noWrap w:val="0"/>
            <w:vAlign w:val="center"/>
          </w:tcPr>
          <w:p w14:paraId="603F81C7">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Creativity Anxiety(0-1)</w:t>
            </w:r>
          </w:p>
        </w:tc>
        <w:tc>
          <w:tcPr>
            <w:tcW w:w="2193" w:type="dxa"/>
            <w:tcBorders>
              <w:top w:val="nil"/>
              <w:left w:val="nil"/>
              <w:bottom w:val="nil"/>
              <w:right w:val="nil"/>
            </w:tcBorders>
            <w:shd w:val="clear" w:color="auto" w:fill="FFFFFF"/>
            <w:noWrap w:val="0"/>
            <w:vAlign w:val="center"/>
          </w:tcPr>
          <w:p w14:paraId="63F980A8">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No</w:t>
            </w:r>
          </w:p>
        </w:tc>
        <w:tc>
          <w:tcPr>
            <w:tcW w:w="1185" w:type="dxa"/>
            <w:tcBorders>
              <w:top w:val="nil"/>
              <w:left w:val="nil"/>
              <w:bottom w:val="nil"/>
              <w:right w:val="nil"/>
            </w:tcBorders>
            <w:shd w:val="clear" w:color="auto" w:fill="FFFFFF"/>
            <w:noWrap w:val="0"/>
            <w:vAlign w:val="center"/>
          </w:tcPr>
          <w:p w14:paraId="3B97B6A9">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14</w:t>
            </w:r>
          </w:p>
        </w:tc>
        <w:tc>
          <w:tcPr>
            <w:tcW w:w="1462" w:type="dxa"/>
            <w:tcBorders>
              <w:top w:val="nil"/>
              <w:left w:val="nil"/>
              <w:bottom w:val="nil"/>
              <w:right w:val="nil"/>
            </w:tcBorders>
            <w:shd w:val="clear" w:color="auto" w:fill="FFFFFF"/>
            <w:noWrap w:val="0"/>
            <w:vAlign w:val="center"/>
          </w:tcPr>
          <w:p w14:paraId="546BFD75">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70</w:t>
            </w:r>
          </w:p>
        </w:tc>
      </w:tr>
      <w:tr w14:paraId="498D1FFF">
        <w:tblPrEx>
          <w:tblCellMar>
            <w:top w:w="0" w:type="dxa"/>
            <w:left w:w="0" w:type="dxa"/>
            <w:bottom w:w="0" w:type="dxa"/>
            <w:right w:w="0" w:type="dxa"/>
          </w:tblCellMar>
        </w:tblPrEx>
        <w:trPr>
          <w:trHeight w:val="0" w:hRule="atLeast"/>
          <w:jc w:val="center"/>
        </w:trPr>
        <w:tc>
          <w:tcPr>
            <w:tcW w:w="2744" w:type="dxa"/>
            <w:vMerge w:val="continue"/>
            <w:tcBorders>
              <w:top w:val="nil"/>
              <w:left w:val="nil"/>
              <w:bottom w:val="nil"/>
              <w:right w:val="nil"/>
            </w:tcBorders>
            <w:shd w:val="clear" w:color="auto" w:fill="FFFFFF"/>
            <w:noWrap w:val="0"/>
            <w:vAlign w:val="center"/>
          </w:tcPr>
          <w:p w14:paraId="130291A3">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p>
        </w:tc>
        <w:tc>
          <w:tcPr>
            <w:tcW w:w="2193" w:type="dxa"/>
            <w:tcBorders>
              <w:top w:val="nil"/>
              <w:left w:val="nil"/>
              <w:bottom w:val="nil"/>
              <w:right w:val="nil"/>
            </w:tcBorders>
            <w:shd w:val="clear" w:color="auto" w:fill="FFFFFF"/>
            <w:noWrap w:val="0"/>
            <w:vAlign w:val="center"/>
          </w:tcPr>
          <w:p w14:paraId="0CB6A1F8">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Yes</w:t>
            </w:r>
          </w:p>
        </w:tc>
        <w:tc>
          <w:tcPr>
            <w:tcW w:w="1185" w:type="dxa"/>
            <w:tcBorders>
              <w:top w:val="nil"/>
              <w:left w:val="nil"/>
              <w:bottom w:val="nil"/>
              <w:right w:val="nil"/>
            </w:tcBorders>
            <w:shd w:val="clear" w:color="auto" w:fill="FFFFFF"/>
            <w:noWrap w:val="0"/>
            <w:vAlign w:val="center"/>
          </w:tcPr>
          <w:p w14:paraId="40C8C3C9">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6</w:t>
            </w:r>
          </w:p>
        </w:tc>
        <w:tc>
          <w:tcPr>
            <w:tcW w:w="1462" w:type="dxa"/>
            <w:tcBorders>
              <w:top w:val="nil"/>
              <w:left w:val="nil"/>
              <w:bottom w:val="nil"/>
              <w:right w:val="nil"/>
            </w:tcBorders>
            <w:shd w:val="clear" w:color="auto" w:fill="FFFFFF"/>
            <w:noWrap w:val="0"/>
            <w:vAlign w:val="center"/>
          </w:tcPr>
          <w:p w14:paraId="3323AABF">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30</w:t>
            </w:r>
          </w:p>
        </w:tc>
      </w:tr>
      <w:tr w14:paraId="27378FB4">
        <w:tblPrEx>
          <w:shd w:val="clear" w:color="auto" w:fill="FFFFFF"/>
          <w:tblCellMar>
            <w:top w:w="0" w:type="dxa"/>
            <w:left w:w="0" w:type="dxa"/>
            <w:bottom w:w="0" w:type="dxa"/>
            <w:right w:w="0" w:type="dxa"/>
          </w:tblCellMar>
        </w:tblPrEx>
        <w:trPr>
          <w:trHeight w:val="0" w:hRule="atLeast"/>
          <w:jc w:val="center"/>
        </w:trPr>
        <w:tc>
          <w:tcPr>
            <w:tcW w:w="2744" w:type="dxa"/>
            <w:vMerge w:val="restart"/>
            <w:tcBorders>
              <w:top w:val="nil"/>
              <w:left w:val="nil"/>
              <w:bottom w:val="nil"/>
              <w:right w:val="nil"/>
            </w:tcBorders>
            <w:shd w:val="clear" w:color="auto" w:fill="FFFFFF"/>
            <w:noWrap w:val="0"/>
            <w:vAlign w:val="center"/>
          </w:tcPr>
          <w:p w14:paraId="50EB5DCD">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Ethical Anxiety(0-1)</w:t>
            </w:r>
          </w:p>
        </w:tc>
        <w:tc>
          <w:tcPr>
            <w:tcW w:w="2193" w:type="dxa"/>
            <w:tcBorders>
              <w:top w:val="nil"/>
              <w:left w:val="nil"/>
              <w:bottom w:val="nil"/>
              <w:right w:val="nil"/>
            </w:tcBorders>
            <w:shd w:val="clear" w:color="auto" w:fill="FFFFFF"/>
            <w:noWrap w:val="0"/>
            <w:vAlign w:val="center"/>
          </w:tcPr>
          <w:p w14:paraId="56BF80E7">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No</w:t>
            </w:r>
          </w:p>
        </w:tc>
        <w:tc>
          <w:tcPr>
            <w:tcW w:w="1185" w:type="dxa"/>
            <w:tcBorders>
              <w:top w:val="nil"/>
              <w:left w:val="nil"/>
              <w:bottom w:val="nil"/>
              <w:right w:val="nil"/>
            </w:tcBorders>
            <w:shd w:val="clear" w:color="auto" w:fill="FFFFFF"/>
            <w:noWrap w:val="0"/>
            <w:vAlign w:val="center"/>
          </w:tcPr>
          <w:p w14:paraId="21CEA827">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17</w:t>
            </w:r>
          </w:p>
        </w:tc>
        <w:tc>
          <w:tcPr>
            <w:tcW w:w="1462" w:type="dxa"/>
            <w:tcBorders>
              <w:top w:val="nil"/>
              <w:left w:val="nil"/>
              <w:bottom w:val="nil"/>
              <w:right w:val="nil"/>
            </w:tcBorders>
            <w:shd w:val="clear" w:color="auto" w:fill="FFFFFF"/>
            <w:noWrap w:val="0"/>
            <w:vAlign w:val="center"/>
          </w:tcPr>
          <w:p w14:paraId="64F9565E">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85</w:t>
            </w:r>
          </w:p>
        </w:tc>
      </w:tr>
      <w:tr w14:paraId="2BA96FC0">
        <w:tblPrEx>
          <w:shd w:val="clear" w:color="auto" w:fill="FFFFFF"/>
          <w:tblCellMar>
            <w:top w:w="0" w:type="dxa"/>
            <w:left w:w="0" w:type="dxa"/>
            <w:bottom w:w="0" w:type="dxa"/>
            <w:right w:w="0" w:type="dxa"/>
          </w:tblCellMar>
        </w:tblPrEx>
        <w:trPr>
          <w:trHeight w:val="0" w:hRule="atLeast"/>
          <w:jc w:val="center"/>
        </w:trPr>
        <w:tc>
          <w:tcPr>
            <w:tcW w:w="2744" w:type="dxa"/>
            <w:vMerge w:val="continue"/>
            <w:tcBorders>
              <w:top w:val="nil"/>
              <w:left w:val="nil"/>
              <w:bottom w:val="nil"/>
              <w:right w:val="nil"/>
            </w:tcBorders>
            <w:shd w:val="clear" w:color="auto" w:fill="FFFFFF"/>
            <w:noWrap w:val="0"/>
            <w:vAlign w:val="center"/>
          </w:tcPr>
          <w:p w14:paraId="4627999E">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p>
        </w:tc>
        <w:tc>
          <w:tcPr>
            <w:tcW w:w="2193" w:type="dxa"/>
            <w:tcBorders>
              <w:top w:val="nil"/>
              <w:left w:val="nil"/>
              <w:bottom w:val="nil"/>
              <w:right w:val="nil"/>
            </w:tcBorders>
            <w:shd w:val="clear" w:color="auto" w:fill="FFFFFF"/>
            <w:noWrap w:val="0"/>
            <w:vAlign w:val="center"/>
          </w:tcPr>
          <w:p w14:paraId="2C0D814A">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Yes</w:t>
            </w:r>
          </w:p>
        </w:tc>
        <w:tc>
          <w:tcPr>
            <w:tcW w:w="1185" w:type="dxa"/>
            <w:tcBorders>
              <w:top w:val="nil"/>
              <w:left w:val="nil"/>
              <w:bottom w:val="nil"/>
              <w:right w:val="nil"/>
            </w:tcBorders>
            <w:shd w:val="clear" w:color="auto" w:fill="FFFFFF"/>
            <w:noWrap w:val="0"/>
            <w:vAlign w:val="center"/>
          </w:tcPr>
          <w:p w14:paraId="0D07B1B4">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3</w:t>
            </w:r>
          </w:p>
        </w:tc>
        <w:tc>
          <w:tcPr>
            <w:tcW w:w="1462" w:type="dxa"/>
            <w:tcBorders>
              <w:top w:val="nil"/>
              <w:left w:val="nil"/>
              <w:bottom w:val="nil"/>
              <w:right w:val="nil"/>
            </w:tcBorders>
            <w:shd w:val="clear" w:color="auto" w:fill="FFFFFF"/>
            <w:noWrap w:val="0"/>
            <w:vAlign w:val="center"/>
          </w:tcPr>
          <w:p w14:paraId="75E929F2">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15</w:t>
            </w:r>
          </w:p>
        </w:tc>
      </w:tr>
      <w:tr w14:paraId="3BF6FCB0">
        <w:tblPrEx>
          <w:shd w:val="clear" w:color="auto" w:fill="FFFFFF"/>
          <w:tblCellMar>
            <w:top w:w="0" w:type="dxa"/>
            <w:left w:w="0" w:type="dxa"/>
            <w:bottom w:w="0" w:type="dxa"/>
            <w:right w:w="0" w:type="dxa"/>
          </w:tblCellMar>
        </w:tblPrEx>
        <w:trPr>
          <w:trHeight w:val="0" w:hRule="atLeast"/>
          <w:jc w:val="center"/>
        </w:trPr>
        <w:tc>
          <w:tcPr>
            <w:tcW w:w="2744" w:type="dxa"/>
            <w:vMerge w:val="restart"/>
            <w:tcBorders>
              <w:top w:val="nil"/>
              <w:left w:val="nil"/>
              <w:bottom w:val="nil"/>
              <w:right w:val="nil"/>
            </w:tcBorders>
            <w:shd w:val="clear" w:color="auto" w:fill="FFFFFF"/>
            <w:noWrap w:val="0"/>
            <w:vAlign w:val="center"/>
          </w:tcPr>
          <w:p w14:paraId="1150BD32">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Presence of Anxiety(</w:t>
            </w:r>
            <w:r>
              <w:rPr>
                <w:rFonts w:hint="default" w:ascii="Times New Roman" w:hAnsi="Times New Roman" w:eastAsia="宋体" w:cs="Times New Roman"/>
                <w:snapToGrid/>
                <w:color w:val="000000"/>
                <w:kern w:val="0"/>
                <w:sz w:val="18"/>
                <w:szCs w:val="18"/>
                <w:lang w:eastAsia="zh-CN" w:bidi="ar"/>
              </w:rPr>
              <w:t>numeric</w:t>
            </w:r>
            <w:r>
              <w:rPr>
                <w:rFonts w:ascii="Times New Roman" w:hAnsi="Times New Roman" w:eastAsia="宋体" w:cs="Times New Roman"/>
                <w:snapToGrid/>
                <w:color w:val="000000"/>
                <w:kern w:val="0"/>
                <w:sz w:val="18"/>
                <w:szCs w:val="18"/>
                <w:lang w:eastAsia="zh-CN" w:bidi="ar"/>
              </w:rPr>
              <w:t>)</w:t>
            </w:r>
          </w:p>
        </w:tc>
        <w:tc>
          <w:tcPr>
            <w:tcW w:w="2193" w:type="dxa"/>
            <w:tcBorders>
              <w:top w:val="nil"/>
              <w:left w:val="nil"/>
              <w:bottom w:val="nil"/>
              <w:right w:val="nil"/>
            </w:tcBorders>
            <w:shd w:val="clear" w:color="auto" w:fill="FFFFFF"/>
            <w:noWrap w:val="0"/>
            <w:vAlign w:val="center"/>
          </w:tcPr>
          <w:p w14:paraId="038AD8F7">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r>
              <w:rPr>
                <w:rFonts w:hint="default" w:ascii="Times New Roman" w:hAnsi="Times New Roman" w:eastAsia="宋体" w:cs="Times New Roman"/>
                <w:snapToGrid/>
                <w:color w:val="000000"/>
                <w:kern w:val="0"/>
                <w:sz w:val="18"/>
                <w:szCs w:val="18"/>
                <w:lang w:eastAsia="zh-CN" w:bidi="ar"/>
              </w:rPr>
              <w:t>None</w:t>
            </w:r>
          </w:p>
        </w:tc>
        <w:tc>
          <w:tcPr>
            <w:tcW w:w="1185" w:type="dxa"/>
            <w:tcBorders>
              <w:top w:val="nil"/>
              <w:left w:val="nil"/>
              <w:bottom w:val="nil"/>
              <w:right w:val="nil"/>
            </w:tcBorders>
            <w:shd w:val="clear" w:color="auto" w:fill="FFFFFF"/>
            <w:noWrap w:val="0"/>
            <w:vAlign w:val="center"/>
          </w:tcPr>
          <w:p w14:paraId="66EDB79F">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8</w:t>
            </w:r>
          </w:p>
        </w:tc>
        <w:tc>
          <w:tcPr>
            <w:tcW w:w="1462" w:type="dxa"/>
            <w:tcBorders>
              <w:top w:val="nil"/>
              <w:left w:val="nil"/>
              <w:bottom w:val="nil"/>
              <w:right w:val="nil"/>
            </w:tcBorders>
            <w:shd w:val="clear" w:color="auto" w:fill="FFFFFF"/>
            <w:noWrap w:val="0"/>
            <w:vAlign w:val="center"/>
          </w:tcPr>
          <w:p w14:paraId="5117FF7B">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40</w:t>
            </w:r>
          </w:p>
        </w:tc>
      </w:tr>
      <w:tr w14:paraId="7E03C9AB">
        <w:tblPrEx>
          <w:tblCellMar>
            <w:top w:w="0" w:type="dxa"/>
            <w:left w:w="0" w:type="dxa"/>
            <w:bottom w:w="0" w:type="dxa"/>
            <w:right w:w="0" w:type="dxa"/>
          </w:tblCellMar>
        </w:tblPrEx>
        <w:trPr>
          <w:trHeight w:val="0" w:hRule="atLeast"/>
          <w:jc w:val="center"/>
        </w:trPr>
        <w:tc>
          <w:tcPr>
            <w:tcW w:w="2744" w:type="dxa"/>
            <w:vMerge w:val="continue"/>
            <w:tcBorders>
              <w:top w:val="nil"/>
              <w:left w:val="nil"/>
              <w:bottom w:val="nil"/>
              <w:right w:val="nil"/>
            </w:tcBorders>
            <w:shd w:val="clear" w:color="auto" w:fill="FFFFFF"/>
            <w:noWrap w:val="0"/>
            <w:vAlign w:val="center"/>
          </w:tcPr>
          <w:p w14:paraId="0C5EBB2D">
            <w:pPr>
              <w:kinsoku/>
              <w:autoSpaceDE/>
              <w:autoSpaceDN/>
              <w:adjustRightInd/>
              <w:jc w:val="left"/>
              <w:textAlignment w:val="center"/>
              <w:rPr>
                <w:rFonts w:ascii="Times New Roman" w:hAnsi="Times New Roman" w:eastAsia="宋体" w:cs="Times New Roman"/>
                <w:snapToGrid/>
                <w:color w:val="000000"/>
                <w:kern w:val="0"/>
                <w:sz w:val="18"/>
                <w:szCs w:val="18"/>
                <w:lang w:eastAsia="zh-CN" w:bidi="ar"/>
              </w:rPr>
              <w:pPrChange w:id="1" w:author="Admin" w:date="2025-12-29T15:21:00Z">
                <w:pPr/>
              </w:pPrChange>
            </w:pPr>
          </w:p>
        </w:tc>
        <w:tc>
          <w:tcPr>
            <w:tcW w:w="2193" w:type="dxa"/>
            <w:tcBorders>
              <w:top w:val="nil"/>
              <w:left w:val="nil"/>
              <w:bottom w:val="nil"/>
              <w:right w:val="nil"/>
            </w:tcBorders>
            <w:shd w:val="clear" w:color="auto" w:fill="FFFFFF"/>
            <w:noWrap w:val="0"/>
            <w:vAlign w:val="center"/>
          </w:tcPr>
          <w:p w14:paraId="679C7552">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Indirectly Mentioned</w:t>
            </w:r>
          </w:p>
        </w:tc>
        <w:tc>
          <w:tcPr>
            <w:tcW w:w="1185" w:type="dxa"/>
            <w:tcBorders>
              <w:top w:val="nil"/>
              <w:left w:val="nil"/>
              <w:bottom w:val="nil"/>
              <w:right w:val="nil"/>
            </w:tcBorders>
            <w:shd w:val="clear" w:color="auto" w:fill="FFFFFF"/>
            <w:noWrap w:val="0"/>
            <w:vAlign w:val="center"/>
          </w:tcPr>
          <w:p w14:paraId="2615AAA6">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1</w:t>
            </w:r>
          </w:p>
        </w:tc>
        <w:tc>
          <w:tcPr>
            <w:tcW w:w="1462" w:type="dxa"/>
            <w:tcBorders>
              <w:top w:val="nil"/>
              <w:left w:val="nil"/>
              <w:bottom w:val="nil"/>
              <w:right w:val="nil"/>
            </w:tcBorders>
            <w:shd w:val="clear" w:color="auto" w:fill="FFFFFF"/>
            <w:noWrap w:val="0"/>
            <w:vAlign w:val="center"/>
          </w:tcPr>
          <w:p w14:paraId="7E45B7E9">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5</w:t>
            </w:r>
          </w:p>
        </w:tc>
      </w:tr>
      <w:tr w14:paraId="274A4591">
        <w:tblPrEx>
          <w:shd w:val="clear" w:color="auto" w:fill="FFFFFF"/>
          <w:tblCellMar>
            <w:top w:w="0" w:type="dxa"/>
            <w:left w:w="0" w:type="dxa"/>
            <w:bottom w:w="0" w:type="dxa"/>
            <w:right w:w="0" w:type="dxa"/>
          </w:tblCellMar>
        </w:tblPrEx>
        <w:trPr>
          <w:trHeight w:val="0" w:hRule="atLeast"/>
          <w:jc w:val="center"/>
        </w:trPr>
        <w:tc>
          <w:tcPr>
            <w:tcW w:w="2744" w:type="dxa"/>
            <w:vMerge w:val="continue"/>
            <w:tcBorders>
              <w:top w:val="nil"/>
              <w:left w:val="nil"/>
              <w:bottom w:val="nil"/>
              <w:right w:val="nil"/>
            </w:tcBorders>
            <w:shd w:val="clear" w:color="auto" w:fill="FFFFFF"/>
            <w:noWrap w:val="0"/>
            <w:vAlign w:val="center"/>
          </w:tcPr>
          <w:p w14:paraId="3BCC7594">
            <w:pPr>
              <w:kinsoku/>
              <w:autoSpaceDE/>
              <w:autoSpaceDN/>
              <w:adjustRightInd/>
              <w:jc w:val="left"/>
              <w:textAlignment w:val="center"/>
              <w:rPr>
                <w:rFonts w:ascii="Times New Roman" w:hAnsi="Times New Roman" w:eastAsia="宋体" w:cs="Times New Roman"/>
                <w:snapToGrid/>
                <w:color w:val="000000"/>
                <w:kern w:val="0"/>
                <w:sz w:val="18"/>
                <w:szCs w:val="18"/>
                <w:lang w:eastAsia="zh-CN" w:bidi="ar"/>
              </w:rPr>
              <w:pPrChange w:id="2" w:author="Admin" w:date="2025-12-29T15:21:00Z">
                <w:pPr/>
              </w:pPrChange>
            </w:pPr>
          </w:p>
        </w:tc>
        <w:tc>
          <w:tcPr>
            <w:tcW w:w="2193" w:type="dxa"/>
            <w:tcBorders>
              <w:top w:val="nil"/>
              <w:left w:val="nil"/>
              <w:bottom w:val="nil"/>
              <w:right w:val="nil"/>
            </w:tcBorders>
            <w:shd w:val="clear" w:color="auto" w:fill="FFFFFF"/>
            <w:noWrap w:val="0"/>
            <w:vAlign w:val="center"/>
          </w:tcPr>
          <w:p w14:paraId="298C7093">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Explicitly Mentioned</w:t>
            </w:r>
          </w:p>
        </w:tc>
        <w:tc>
          <w:tcPr>
            <w:tcW w:w="1185" w:type="dxa"/>
            <w:tcBorders>
              <w:top w:val="nil"/>
              <w:left w:val="nil"/>
              <w:bottom w:val="nil"/>
              <w:right w:val="nil"/>
            </w:tcBorders>
            <w:shd w:val="clear" w:color="auto" w:fill="FFFFFF"/>
            <w:noWrap w:val="0"/>
            <w:vAlign w:val="center"/>
          </w:tcPr>
          <w:p w14:paraId="57B8D6CD">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11</w:t>
            </w:r>
          </w:p>
        </w:tc>
        <w:tc>
          <w:tcPr>
            <w:tcW w:w="1462" w:type="dxa"/>
            <w:tcBorders>
              <w:top w:val="nil"/>
              <w:left w:val="nil"/>
              <w:bottom w:val="nil"/>
              <w:right w:val="nil"/>
            </w:tcBorders>
            <w:shd w:val="clear" w:color="auto" w:fill="FFFFFF"/>
            <w:noWrap w:val="0"/>
            <w:vAlign w:val="center"/>
          </w:tcPr>
          <w:p w14:paraId="678A4274">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55</w:t>
            </w:r>
          </w:p>
        </w:tc>
      </w:tr>
      <w:tr w14:paraId="79CD1E87">
        <w:tblPrEx>
          <w:tblCellMar>
            <w:top w:w="0" w:type="dxa"/>
            <w:left w:w="0" w:type="dxa"/>
            <w:bottom w:w="0" w:type="dxa"/>
            <w:right w:w="0" w:type="dxa"/>
          </w:tblCellMar>
        </w:tblPrEx>
        <w:trPr>
          <w:trHeight w:val="0" w:hRule="atLeast"/>
          <w:jc w:val="center"/>
        </w:trPr>
        <w:tc>
          <w:tcPr>
            <w:tcW w:w="4937" w:type="dxa"/>
            <w:gridSpan w:val="2"/>
            <w:tcBorders>
              <w:top w:val="nil"/>
              <w:left w:val="nil"/>
              <w:bottom w:val="single" w:color="auto" w:sz="18" w:space="0"/>
              <w:right w:val="nil"/>
            </w:tcBorders>
            <w:shd w:val="clear" w:color="auto" w:fill="FFFFFF"/>
            <w:noWrap w:val="0"/>
            <w:vAlign w:val="center"/>
          </w:tcPr>
          <w:p w14:paraId="2FFD0637">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r>
              <w:rPr>
                <w:rFonts w:hint="default" w:ascii="Times New Roman" w:hAnsi="Times New Roman" w:eastAsia="宋体" w:cs="Times New Roman"/>
                <w:snapToGrid/>
                <w:color w:val="000000"/>
                <w:kern w:val="0"/>
                <w:sz w:val="18"/>
                <w:szCs w:val="18"/>
                <w:lang w:eastAsia="zh-CN" w:bidi="ar"/>
              </w:rPr>
              <w:t>Total</w:t>
            </w:r>
          </w:p>
        </w:tc>
        <w:tc>
          <w:tcPr>
            <w:tcW w:w="1185" w:type="dxa"/>
            <w:tcBorders>
              <w:top w:val="nil"/>
              <w:left w:val="nil"/>
              <w:bottom w:val="single" w:color="auto" w:sz="18" w:space="0"/>
              <w:right w:val="nil"/>
            </w:tcBorders>
            <w:shd w:val="clear" w:color="auto" w:fill="FFFFFF"/>
            <w:noWrap w:val="0"/>
            <w:vAlign w:val="center"/>
          </w:tcPr>
          <w:p w14:paraId="0952DACA">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20</w:t>
            </w:r>
          </w:p>
        </w:tc>
        <w:tc>
          <w:tcPr>
            <w:tcW w:w="1462" w:type="dxa"/>
            <w:tcBorders>
              <w:top w:val="nil"/>
              <w:left w:val="nil"/>
              <w:bottom w:val="single" w:color="auto" w:sz="18" w:space="0"/>
              <w:right w:val="nil"/>
            </w:tcBorders>
            <w:shd w:val="clear" w:color="auto" w:fill="FFFFFF"/>
            <w:noWrap w:val="0"/>
            <w:vAlign w:val="center"/>
          </w:tcPr>
          <w:p w14:paraId="6FB46FBD">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100</w:t>
            </w:r>
          </w:p>
        </w:tc>
      </w:tr>
    </w:tbl>
    <w:p w14:paraId="25E42366">
      <w:pPr>
        <w:widowControl w:val="0"/>
        <w:kinsoku/>
        <w:autoSpaceDE/>
        <w:autoSpaceDN/>
        <w:adjustRightInd/>
        <w:snapToGrid/>
        <w:jc w:val="both"/>
        <w:textAlignment w:val="auto"/>
        <w:rPr>
          <w:rFonts w:ascii="Times New Roman" w:hAnsi="Times New Roman" w:cs="Times New Roman"/>
          <w:spacing w:val="4"/>
          <w:position w:val="2"/>
          <w:sz w:val="24"/>
          <w:szCs w:val="24"/>
          <w:lang w:eastAsia="zh-CN"/>
        </w:rPr>
      </w:pPr>
      <w:r>
        <w:rPr>
          <w:rFonts w:hint="default" w:ascii="Times New Roman" w:hAnsi="Times New Roman" w:cs="Times New Roman" w:eastAsiaTheme="minorEastAsia"/>
          <w:b/>
          <w:bCs/>
          <w:snapToGrid/>
          <w:kern w:val="2"/>
          <w:sz w:val="18"/>
          <w:szCs w:val="18"/>
          <w:lang w:val="en-US" w:eastAsia="zh-CN"/>
        </w:rPr>
        <w:t xml:space="preserve">Table </w:t>
      </w:r>
      <w:r>
        <w:rPr>
          <w:rFonts w:hint="default" w:ascii="Times New Roman" w:hAnsi="Times New Roman" w:cs="Times New Roman" w:eastAsiaTheme="minorEastAsia"/>
          <w:b/>
          <w:bCs/>
          <w:snapToGrid/>
          <w:kern w:val="2"/>
          <w:sz w:val="18"/>
          <w:szCs w:val="18"/>
          <w:lang w:val="en-US" w:eastAsia="zh-CN"/>
        </w:rPr>
        <w:fldChar w:fldCharType="begin"/>
      </w:r>
      <w:r>
        <w:rPr>
          <w:rFonts w:hint="default" w:ascii="Times New Roman" w:hAnsi="Times New Roman" w:cs="Times New Roman" w:eastAsiaTheme="minorEastAsia"/>
          <w:b/>
          <w:bCs/>
          <w:snapToGrid/>
          <w:kern w:val="2"/>
          <w:sz w:val="18"/>
          <w:szCs w:val="18"/>
          <w:lang w:val="en-US" w:eastAsia="zh-CN"/>
        </w:rPr>
        <w:instrText xml:space="preserve"> SEQ </w:instrText>
      </w:r>
      <w:r>
        <w:rPr>
          <w:rFonts w:hint="eastAsia" w:ascii="Times New Roman" w:hAnsi="Times New Roman" w:cs="Times New Roman" w:eastAsiaTheme="minorEastAsia"/>
          <w:b/>
          <w:bCs/>
          <w:snapToGrid/>
          <w:kern w:val="2"/>
          <w:sz w:val="18"/>
          <w:szCs w:val="18"/>
          <w:lang w:val="en-US" w:eastAsia="zh-CN"/>
        </w:rPr>
        <w:instrText xml:space="preserve">表</w:instrText>
      </w:r>
      <w:r>
        <w:rPr>
          <w:rFonts w:hint="default" w:ascii="Times New Roman" w:hAnsi="Times New Roman" w:cs="Times New Roman" w:eastAsiaTheme="minorEastAsia"/>
          <w:b/>
          <w:bCs/>
          <w:snapToGrid/>
          <w:kern w:val="2"/>
          <w:sz w:val="18"/>
          <w:szCs w:val="18"/>
          <w:lang w:val="en-US" w:eastAsia="zh-CN"/>
        </w:rPr>
        <w:instrText xml:space="preserve"> \* ARABIC </w:instrText>
      </w:r>
      <w:r>
        <w:rPr>
          <w:rFonts w:hint="default" w:ascii="Times New Roman" w:hAnsi="Times New Roman" w:cs="Times New Roman" w:eastAsiaTheme="minorEastAsia"/>
          <w:b/>
          <w:bCs/>
          <w:snapToGrid/>
          <w:kern w:val="2"/>
          <w:sz w:val="18"/>
          <w:szCs w:val="18"/>
          <w:lang w:val="en-US" w:eastAsia="zh-CN"/>
        </w:rPr>
        <w:fldChar w:fldCharType="separate"/>
      </w:r>
      <w:r>
        <w:rPr>
          <w:rFonts w:hint="default" w:ascii="Times New Roman" w:hAnsi="Times New Roman" w:cs="Times New Roman" w:eastAsiaTheme="minorEastAsia"/>
          <w:b/>
          <w:bCs/>
          <w:snapToGrid/>
          <w:kern w:val="2"/>
          <w:sz w:val="18"/>
          <w:szCs w:val="18"/>
          <w:lang w:val="en-US" w:eastAsia="zh-CN"/>
        </w:rPr>
        <w:t>2</w:t>
      </w:r>
      <w:r>
        <w:rPr>
          <w:rFonts w:hint="default" w:ascii="Times New Roman" w:hAnsi="Times New Roman" w:cs="Times New Roman" w:eastAsiaTheme="minorEastAsia"/>
          <w:b/>
          <w:bCs/>
          <w:snapToGrid/>
          <w:kern w:val="2"/>
          <w:sz w:val="18"/>
          <w:szCs w:val="18"/>
          <w:lang w:val="en-US" w:eastAsia="zh-CN"/>
        </w:rPr>
        <w:fldChar w:fldCharType="end"/>
      </w:r>
      <w:r>
        <w:rPr>
          <w:rFonts w:hint="eastAsia" w:ascii="Times New Roman" w:hAnsi="Times New Roman" w:cs="Times New Roman" w:eastAsiaTheme="minorEastAsia"/>
          <w:b/>
          <w:bCs/>
          <w:snapToGrid/>
          <w:kern w:val="2"/>
          <w:sz w:val="18"/>
          <w:szCs w:val="18"/>
          <w:lang w:val="en-US" w:eastAsia="zh-CN"/>
        </w:rPr>
        <w:t>.</w:t>
      </w:r>
      <w:r>
        <w:rPr>
          <w:rFonts w:hint="default" w:ascii="Times New Roman" w:hAnsi="Times New Roman" w:cs="Times New Roman" w:eastAsiaTheme="minorEastAsia"/>
          <w:b/>
          <w:bCs/>
          <w:snapToGrid/>
          <w:kern w:val="2"/>
          <w:sz w:val="18"/>
          <w:szCs w:val="18"/>
          <w:lang w:val="en-US" w:eastAsia="zh-CN"/>
        </w:rPr>
        <w:t xml:space="preserve"> </w:t>
      </w:r>
      <w:r>
        <w:rPr>
          <w:rFonts w:hint="default" w:ascii="Times New Roman" w:hAnsi="Times New Roman" w:cs="Times New Roman" w:eastAsiaTheme="minorEastAsia"/>
          <w:b w:val="0"/>
          <w:bCs w:val="0"/>
          <w:snapToGrid/>
          <w:kern w:val="2"/>
          <w:sz w:val="18"/>
          <w:szCs w:val="18"/>
          <w:lang w:val="en-US" w:eastAsia="zh-CN"/>
        </w:rPr>
        <w:t>Frequency and Proportion of Psychological Challenges Associated with Student Use of Generative AI in Included Studies (N = 20)</w:t>
      </w:r>
    </w:p>
    <w:p w14:paraId="155AC14D">
      <w:pPr>
        <w:kinsoku/>
        <w:adjustRightInd/>
        <w:snapToGrid/>
        <w:ind w:firstLine="400" w:firstLineChars="200"/>
        <w:jc w:val="both"/>
        <w:textAlignment w:val="auto"/>
        <w:outlineLvl w:val="1"/>
        <w:rPr>
          <w:rFonts w:hint="default" w:ascii="Times New Roman" w:hAnsi="Times New Roman" w:eastAsia="宋体" w:cs="Times New Roman"/>
          <w:snapToGrid/>
          <w:color w:val="auto"/>
          <w:sz w:val="20"/>
          <w:szCs w:val="20"/>
          <w:lang w:eastAsia="zh-CN"/>
        </w:rPr>
      </w:pPr>
    </w:p>
    <w:p w14:paraId="788B3567">
      <w:pPr>
        <w:kinsoku/>
        <w:adjustRightInd/>
        <w:snapToGrid/>
        <w:ind w:firstLine="400" w:firstLineChars="200"/>
        <w:jc w:val="both"/>
        <w:textAlignment w:val="auto"/>
        <w:outlineLvl w:val="1"/>
        <w:rPr>
          <w:rFonts w:hint="eastAsia" w:ascii="Times New Roman" w:hAnsi="Times New Roman" w:eastAsia="宋体" w:cs="Times New Roman"/>
          <w:snapToGrid/>
          <w:color w:val="auto"/>
          <w:sz w:val="20"/>
          <w:szCs w:val="20"/>
          <w:lang w:eastAsia="zh-CN"/>
        </w:rPr>
      </w:pPr>
      <w:r>
        <w:rPr>
          <w:rFonts w:hint="default" w:ascii="Times New Roman" w:hAnsi="Times New Roman" w:eastAsia="宋体" w:cs="Times New Roman"/>
          <w:snapToGrid/>
          <w:color w:val="auto"/>
          <w:sz w:val="20"/>
          <w:szCs w:val="20"/>
          <w:lang w:eastAsia="zh-CN"/>
        </w:rPr>
        <w:t>The results of the review (see Table 2) indicate that the core psychological challenges identified are concentrated in three interrelated areas, with clear distribution patterns across studies. First, anxiety is a notable response, explicitly reported in 55% of studies and indirectly mentioned in 5%. Among subtypes, career anxiety (35% of studies) and creativity anxiety (30% of studies) are the main concerns, focusing on GenAI’s potential impact on creative skills’ value and original expression, while ethical anxiety is less common (15%) and primarily linked to ambiguous use guidelines. This pattern indicates that students’ anxiety centers on core creative and professional values rather than widespread ethical resistance.</w:t>
      </w:r>
    </w:p>
    <w:p w14:paraId="24EE61F2">
      <w:pPr>
        <w:kinsoku/>
        <w:adjustRightInd/>
        <w:snapToGrid/>
        <w:ind w:firstLine="400" w:firstLineChars="200"/>
        <w:jc w:val="both"/>
        <w:textAlignment w:val="auto"/>
        <w:outlineLvl w:val="1"/>
        <w:rPr>
          <w:rFonts w:hint="eastAsia" w:ascii="Times New Roman" w:hAnsi="Times New Roman" w:eastAsia="宋体" w:cs="Times New Roman"/>
          <w:snapToGrid/>
          <w:color w:val="auto"/>
          <w:sz w:val="20"/>
          <w:szCs w:val="20"/>
          <w:lang w:eastAsia="zh-CN"/>
        </w:rPr>
      </w:pPr>
      <w:r>
        <w:rPr>
          <w:rFonts w:hint="default" w:ascii="Times New Roman" w:hAnsi="Times New Roman" w:eastAsia="宋体" w:cs="Times New Roman"/>
          <w:snapToGrid/>
          <w:color w:val="auto"/>
          <w:sz w:val="20"/>
          <w:szCs w:val="20"/>
          <w:lang w:eastAsia="zh-CN"/>
        </w:rPr>
        <w:t xml:space="preserve">Second, identity threat is a core challenge, mentioned in 60% of studies (40% explicitly reported), revolving around the reconstruction of </w:t>
      </w:r>
      <w:r>
        <w:rPr>
          <w:rFonts w:hint="default" w:ascii="Times New Roman" w:hAnsi="Times New Roman" w:eastAsia="宋体" w:cs="Times New Roman"/>
          <w:snapToGrid/>
          <w:color w:val="auto"/>
          <w:sz w:val="20"/>
          <w:szCs w:val="20"/>
          <w:lang w:val="en-US" w:eastAsia="zh-CN"/>
        </w:rPr>
        <w:t>“</w:t>
      </w:r>
      <w:r>
        <w:rPr>
          <w:rFonts w:hint="default" w:ascii="Times New Roman" w:hAnsi="Times New Roman" w:eastAsia="宋体" w:cs="Times New Roman"/>
          <w:snapToGrid/>
          <w:color w:val="auto"/>
          <w:sz w:val="20"/>
          <w:szCs w:val="20"/>
          <w:lang w:eastAsia="zh-CN"/>
        </w:rPr>
        <w:t>creative practitioner</w:t>
      </w:r>
      <w:r>
        <w:rPr>
          <w:rFonts w:hint="default" w:ascii="Times New Roman" w:hAnsi="Times New Roman" w:eastAsia="宋体" w:cs="Times New Roman"/>
          <w:snapToGrid/>
          <w:color w:val="auto"/>
          <w:sz w:val="20"/>
          <w:szCs w:val="20"/>
          <w:lang w:val="en-US" w:eastAsia="zh-CN"/>
        </w:rPr>
        <w:t>”</w:t>
      </w:r>
      <w:r>
        <w:rPr>
          <w:rFonts w:hint="default" w:ascii="Times New Roman" w:hAnsi="Times New Roman" w:eastAsia="宋体" w:cs="Times New Roman"/>
          <w:snapToGrid/>
          <w:color w:val="auto"/>
          <w:sz w:val="20"/>
          <w:szCs w:val="20"/>
          <w:lang w:eastAsia="zh-CN"/>
        </w:rPr>
        <w:t xml:space="preserve"> identity when GenAI can generate creative outputs independently. Experience level is a key differentiator: senior students and early-career professionals are more vulnerable to such threats due to their investment in traditional skills, while novices tend to view GenAI as an enabler of emerging creative identities</w:t>
      </w:r>
      <w:r>
        <w:rPr>
          <w:rFonts w:hint="default" w:ascii="Times New Roman" w:hAnsi="Times New Roman" w:eastAsia="宋体" w:cs="Times New Roman"/>
          <w:snapToGrid/>
          <w:color w:val="auto"/>
          <w:sz w:val="20"/>
          <w:szCs w:val="20"/>
          <w:lang w:eastAsia="zh-CN"/>
        </w:rPr>
        <w:fldChar w:fldCharType="begin"/>
      </w:r>
      <w:r>
        <w:rPr>
          <w:rFonts w:hint="eastAsia" w:ascii="Times New Roman" w:hAnsi="Times New Roman" w:eastAsia="宋体" w:cs="Times New Roman"/>
          <w:snapToGrid/>
          <w:color w:val="auto"/>
          <w:sz w:val="20"/>
          <w:szCs w:val="20"/>
          <w:lang w:eastAsia="zh-CN"/>
        </w:rPr>
        <w:instrText xml:space="preserve"> ADDIN ZOTERO_ITEM CSL_CITATION {"citationID":"wClvm3et","properties":{"formattedCitation":"&lt;sup&gt;32&lt;/sup&gt;","plainCitation":"32","noteIndex":0},"citationItems":[{"id":1138,"uris":["http://zotero.org/groups/6329368/items/EHNWJTEY"],"itemData":{"id":1138,"type":"paper-conference","abstract":"Among creative professionals, Generative Artificial Intelligence (GenAI) has sparked excitement over its capabilities and fear over unanticipated consequences. How does GenAI impact User Experience Design (UXD) practice, and are fears warranted? We interviewed 20 UX Designers, with diverse experience and across companies (startups to large enterprises). We probed them to characterize their practices, and sample their attitudes, concerns, and expectations. We found that experienced designers are confident in their originality, creativity, and empathic skills, and find GenAI’s role as assistive. They emphasized the unique human factors of “enjoyment” and “agency”, where humans remain the arbiters of “AI alignment’’. However, skill degradation, job replacement, and creativity exhaustion can adversely impact junior designers. We discuss implications for human-GenAI collaboration, specifically copyright and ownership, human creativity and agency, and AI literacy and access. Through the lens of responsible and participatory AI, we contribute a deeper understanding of GenAI fears and opportunities for UXD.","collection-title":"CHI '24","container-title":"Proceedings of the 2024 CHI Conference on Human Factors in Computing Systems","DOI":"10.1145/3613904.3642114","ISBN":"979-8-4007-0330-0","page":"1–18","publisher":"Association for Computing Machinery","publisher-place":"New York, NY, USA","source":"ACM Digital Library","title":"User Experience Design Professionals’ Perceptions of Generative Artificial Intelligence","URL":"https://doi.org/10.1145/3613904.3642114","author":[{"family":"Li","given":"Jie"},{"family":"Cao","given":"Hancheng"},{"family":"Lin","given":"Laura"},{"family":"Hou","given":"Youyang"},{"family":"Zhu","given":"Ruihao"},{"family":"El Ali","given":"Abdallah"}],"accessed":{"date-parts":[["2025",12,21]]},"issued":{"date-parts":[["2024",5,11]]}}}],"schema":"https://github.com/citation-style-language/schema/raw/master/csl-citation.json"} </w:instrText>
      </w:r>
      <w:r>
        <w:rPr>
          <w:rFonts w:hint="default" w:ascii="Times New Roman" w:hAnsi="Times New Roman" w:eastAsia="宋体" w:cs="Times New Roman"/>
          <w:snapToGrid/>
          <w:color w:val="auto"/>
          <w:sz w:val="20"/>
          <w:szCs w:val="20"/>
          <w:lang w:eastAsia="zh-CN"/>
        </w:rPr>
        <w:fldChar w:fldCharType="separate"/>
      </w:r>
      <w:r>
        <w:rPr>
          <w:rFonts w:hint="eastAsia" w:ascii="Times New Roman" w:hAnsi="Times New Roman" w:eastAsia="宋体" w:cs="Times New Roman"/>
          <w:snapToGrid/>
          <w:color w:val="auto"/>
          <w:sz w:val="20"/>
          <w:szCs w:val="20"/>
          <w:vertAlign w:val="superscript"/>
          <w:lang w:eastAsia="zh-CN"/>
        </w:rPr>
        <w:t>32</w:t>
      </w:r>
      <w:r>
        <w:rPr>
          <w:rFonts w:hint="default" w:ascii="Times New Roman" w:hAnsi="Times New Roman" w:eastAsia="宋体" w:cs="Times New Roman"/>
          <w:snapToGrid/>
          <w:color w:val="auto"/>
          <w:sz w:val="20"/>
          <w:szCs w:val="20"/>
          <w:lang w:eastAsia="zh-CN"/>
        </w:rPr>
        <w:fldChar w:fldCharType="end"/>
      </w:r>
      <w:r>
        <w:rPr>
          <w:rFonts w:hint="default" w:ascii="Times New Roman" w:hAnsi="Times New Roman" w:eastAsia="宋体" w:cs="Times New Roman"/>
          <w:snapToGrid/>
          <w:color w:val="auto"/>
          <w:sz w:val="20"/>
          <w:szCs w:val="20"/>
          <w:lang w:eastAsia="zh-CN"/>
        </w:rPr>
        <w:t>. This difference suggests that psychological responses to GenAI are not universal but context-dependent.</w:t>
      </w:r>
    </w:p>
    <w:p w14:paraId="58910782">
      <w:pPr>
        <w:kinsoku/>
        <w:adjustRightInd/>
        <w:snapToGrid/>
        <w:ind w:firstLine="400" w:firstLineChars="200"/>
        <w:jc w:val="both"/>
        <w:textAlignment w:val="auto"/>
        <w:outlineLvl w:val="1"/>
        <w:rPr>
          <w:rFonts w:hint="eastAsia" w:ascii="Times New Roman" w:hAnsi="Times New Roman" w:eastAsia="宋体" w:cs="Times New Roman"/>
          <w:snapToGrid/>
          <w:color w:val="auto"/>
          <w:sz w:val="20"/>
          <w:szCs w:val="20"/>
          <w:lang w:eastAsia="zh-CN"/>
        </w:rPr>
      </w:pPr>
      <w:r>
        <w:rPr>
          <w:rFonts w:hint="default" w:ascii="Times New Roman" w:hAnsi="Times New Roman" w:eastAsia="宋体" w:cs="Times New Roman"/>
          <w:snapToGrid/>
          <w:color w:val="auto"/>
          <w:sz w:val="20"/>
          <w:szCs w:val="20"/>
          <w:lang w:eastAsia="zh-CN"/>
        </w:rPr>
        <w:t>Third, self-efficacy, measured in half of the reviewed studies, displays a conditional pattern. Enhanced self-efficacy is reported in 35% of studies, particularly among novices benefiting from skill compensation, while 40% reveal mixed effects among more experienced users who weigh efficiency against skill deterioration. Only 5% indicate reduced self-efficacy. Most effects are of moderate intensity (65%), illustrating the inherently fragile perception of competence in GenAI use.</w:t>
      </w:r>
    </w:p>
    <w:p w14:paraId="0EB6E96A">
      <w:pPr>
        <w:kinsoku/>
        <w:adjustRightInd/>
        <w:snapToGrid/>
        <w:ind w:firstLine="400" w:firstLineChars="200"/>
        <w:jc w:val="both"/>
        <w:textAlignment w:val="auto"/>
        <w:outlineLvl w:val="1"/>
        <w:rPr>
          <w:rFonts w:hint="default" w:ascii="Times New Roman" w:hAnsi="Times New Roman" w:eastAsia="宋体" w:cs="Times New Roman"/>
          <w:snapToGrid/>
          <w:color w:val="auto"/>
          <w:sz w:val="20"/>
          <w:szCs w:val="20"/>
          <w:lang w:val="en-US" w:eastAsia="zh-CN"/>
        </w:rPr>
      </w:pPr>
      <w:r>
        <w:rPr>
          <w:rFonts w:hint="default" w:ascii="Times New Roman" w:hAnsi="Times New Roman" w:eastAsia="宋体" w:cs="Times New Roman"/>
          <w:snapToGrid/>
          <w:color w:val="auto"/>
          <w:sz w:val="20"/>
          <w:szCs w:val="20"/>
          <w:lang w:eastAsia="zh-CN"/>
        </w:rPr>
        <w:t>Synthesizing these findings, GenAI-induced psychological challenges are structured around identity threat, conditional self-efficacy fluctuations, and domain-specific anxiety. Building on this synthesis, self-efficacy and anxiety appear not merely as parallel outcomes, but as interrelated psychological mechanisms through which GenAI use shapes students’ creative engagement and identity stability</w:t>
      </w:r>
      <w:r>
        <w:rPr>
          <w:rFonts w:hint="eastAsia" w:ascii="Times New Roman" w:hAnsi="Times New Roman" w:eastAsia="宋体" w:cs="Times New Roman"/>
          <w:snapToGrid/>
          <w:color w:val="auto"/>
          <w:sz w:val="20"/>
          <w:szCs w:val="20"/>
          <w:lang w:val="en-US" w:eastAsia="zh-CN"/>
        </w:rPr>
        <w:t>.</w:t>
      </w:r>
    </w:p>
    <w:p w14:paraId="40CBEAF6">
      <w:pPr>
        <w:kinsoku/>
        <w:adjustRightInd/>
        <w:snapToGrid/>
        <w:ind w:firstLine="400" w:firstLineChars="200"/>
        <w:jc w:val="both"/>
        <w:textAlignment w:val="auto"/>
        <w:outlineLvl w:val="1"/>
        <w:rPr>
          <w:rFonts w:hint="eastAsia" w:ascii="Times New Roman" w:hAnsi="Times New Roman" w:eastAsia="宋体" w:cs="Times New Roman"/>
          <w:snapToGrid/>
          <w:color w:val="auto"/>
          <w:sz w:val="20"/>
          <w:szCs w:val="20"/>
          <w:lang w:eastAsia="zh-CN"/>
        </w:rPr>
      </w:pPr>
      <w:r>
        <w:rPr>
          <w:rFonts w:hint="default" w:ascii="Times New Roman" w:hAnsi="Times New Roman" w:eastAsia="宋体" w:cs="Times New Roman"/>
          <w:snapToGrid/>
          <w:color w:val="auto"/>
          <w:sz w:val="20"/>
          <w:szCs w:val="20"/>
          <w:lang w:eastAsia="zh-CN"/>
        </w:rPr>
        <w:t>For practice, the key implication is differentiated pedagogy aligned with experience level: novices benefit from complementary integration of GenAI and foundational training to leverage self-efficacy gains without dependence</w:t>
      </w:r>
      <w:r>
        <w:rPr>
          <w:rFonts w:hint="default" w:ascii="Times New Roman" w:hAnsi="Times New Roman" w:eastAsia="宋体" w:cs="Times New Roman"/>
          <w:snapToGrid/>
          <w:color w:val="auto"/>
          <w:sz w:val="20"/>
          <w:szCs w:val="20"/>
          <w:lang w:eastAsia="zh-CN"/>
        </w:rPr>
        <w:fldChar w:fldCharType="begin"/>
      </w:r>
      <w:r>
        <w:rPr>
          <w:rFonts w:hint="eastAsia" w:ascii="Times New Roman" w:hAnsi="Times New Roman" w:eastAsia="宋体" w:cs="Times New Roman"/>
          <w:snapToGrid/>
          <w:color w:val="auto"/>
          <w:sz w:val="20"/>
          <w:szCs w:val="20"/>
          <w:lang w:eastAsia="zh-CN"/>
        </w:rPr>
        <w:instrText xml:space="preserve"> ADDIN ZOTERO_ITEM CSL_CITATION {"citationID":"8nDXu7as","properties":{"formattedCitation":"&lt;sup&gt;9&lt;/sup&gt;","plainCitation":"9","noteIndex":0},"citationItems":[{"id":1244,"uris":["http://zotero.org/groups/6329368/items/RF4KXHL4"],"itemData":{"id":1244,"type":"article-journal","abstract":"As the demand for higher-order thinking skills continues to rise in the 21st century, the integration of Generative Artificial Intelligence (GAI) into educational practices has emerged as a promising tool. However, its full potential in enhancing collaborative problem-solving and team creativity within educational contexts, particularly in Digital Storytelling (DST), remains insufficiently explored. This study investigated the effects of GAI tools, including ChatGPT, Midjourney, and Runway, on university students’ Collaborative Problem-Solving (CPS) skills, Team Creativity Performance (TCP), and their perceptions of GAI’s role in DST creation. Employing a mixed-methods approach, the study utilized pre- and post-surveys along with semi-structured interviews to assess these outcomes. Over a 20-week DST training program, sixty university students were randomly assigned to either an experimental group creating their DST with the aid of GAI tools or a conventional group designed DST via traditional methods. Results indicated that the integration of GAI tools in DST creation significantly enhanced students’ CPS skills. Furthermore, the experimental group demonstrated better performance in team creativity, particularly in the user experience and novelty dimensions. It also revealed that while students generally held a positive attitude toward the use of GAI in DST creation, they also expressed concerns about potential cognitive offloading, over-reliance on GAI technology, and the lack of emotional support. This study offers valuable insights for educators and researchers seeking to incorporate GAI technologies into DST creation as a way to foster collaborative learning and creativity in educational settings.","container-title":"International Journal of Educational Technology in Higher Education","DOI":"10.1186/s41239-025-00526-0","ISSN":"2365-9440","issue":"1","journalAbbreviation":"Int J Educ Technol High Educ","language":"en","page":"23","source":"Springer Link","title":"The effects of generative AI on collaborative problem-solving and team creativity performance in digital story creation: an experimental study","title-short":"The effects of generative AI on collaborative problem-solving and team creativity performance in digital story creation","volume":"22","author":[{"family":"Wei","given":"Xiaodong"},{"family":"Wang","given":"Lei"},{"family":"Lee","given":"Lap-Kei"},{"family":"Liu","given":"Ruixue"}],"issued":{"date-parts":[["2025",4,25]]}}}],"schema":"https://github.com/citation-style-language/schema/raw/master/csl-citation.json"} </w:instrText>
      </w:r>
      <w:r>
        <w:rPr>
          <w:rFonts w:hint="default" w:ascii="Times New Roman" w:hAnsi="Times New Roman" w:eastAsia="宋体" w:cs="Times New Roman"/>
          <w:snapToGrid/>
          <w:color w:val="auto"/>
          <w:sz w:val="20"/>
          <w:szCs w:val="20"/>
          <w:lang w:eastAsia="zh-CN"/>
        </w:rPr>
        <w:fldChar w:fldCharType="separate"/>
      </w:r>
      <w:r>
        <w:rPr>
          <w:rFonts w:hint="eastAsia" w:ascii="Times New Roman" w:hAnsi="Times New Roman" w:eastAsia="宋体" w:cs="Times New Roman"/>
          <w:snapToGrid/>
          <w:color w:val="auto"/>
          <w:sz w:val="20"/>
          <w:szCs w:val="20"/>
          <w:vertAlign w:val="superscript"/>
          <w:lang w:eastAsia="zh-CN"/>
        </w:rPr>
        <w:t>9</w:t>
      </w:r>
      <w:r>
        <w:rPr>
          <w:rFonts w:hint="default" w:ascii="Times New Roman" w:hAnsi="Times New Roman" w:eastAsia="宋体" w:cs="Times New Roman"/>
          <w:snapToGrid/>
          <w:color w:val="auto"/>
          <w:sz w:val="20"/>
          <w:szCs w:val="20"/>
          <w:lang w:eastAsia="zh-CN"/>
        </w:rPr>
        <w:fldChar w:fldCharType="end"/>
      </w:r>
      <w:r>
        <w:rPr>
          <w:rFonts w:hint="default" w:ascii="Times New Roman" w:hAnsi="Times New Roman" w:eastAsia="宋体" w:cs="Times New Roman"/>
          <w:snapToGrid/>
          <w:color w:val="auto"/>
          <w:sz w:val="20"/>
          <w:szCs w:val="20"/>
          <w:lang w:eastAsia="zh-CN"/>
        </w:rPr>
        <w:t xml:space="preserve">; seniors need support for identity reconstruction, emphasizing </w:t>
      </w:r>
      <w:r>
        <w:rPr>
          <w:rFonts w:hint="eastAsia" w:ascii="Times New Roman" w:hAnsi="Times New Roman" w:eastAsia="宋体" w:cs="Times New Roman"/>
          <w:snapToGrid/>
          <w:color w:val="auto"/>
          <w:sz w:val="20"/>
          <w:szCs w:val="20"/>
          <w:lang w:val="en-US" w:eastAsia="zh-CN"/>
        </w:rPr>
        <w:t>Gen</w:t>
      </w:r>
      <w:r>
        <w:rPr>
          <w:rFonts w:hint="default" w:ascii="Times New Roman" w:hAnsi="Times New Roman" w:eastAsia="宋体" w:cs="Times New Roman"/>
          <w:snapToGrid/>
          <w:color w:val="auto"/>
          <w:sz w:val="20"/>
          <w:szCs w:val="20"/>
          <w:lang w:eastAsia="zh-CN"/>
        </w:rPr>
        <w:t>AI-irreplicable human capacities</w:t>
      </w:r>
      <w:r>
        <w:rPr>
          <w:rFonts w:hint="default" w:ascii="Times New Roman" w:hAnsi="Times New Roman" w:eastAsia="宋体" w:cs="Times New Roman"/>
          <w:snapToGrid/>
          <w:color w:val="auto"/>
          <w:sz w:val="20"/>
          <w:szCs w:val="20"/>
          <w:lang w:eastAsia="zh-CN"/>
        </w:rPr>
        <w:fldChar w:fldCharType="begin"/>
      </w:r>
      <w:r>
        <w:rPr>
          <w:rFonts w:hint="eastAsia" w:ascii="Times New Roman" w:hAnsi="Times New Roman" w:eastAsia="宋体" w:cs="Times New Roman"/>
          <w:snapToGrid/>
          <w:color w:val="auto"/>
          <w:sz w:val="20"/>
          <w:szCs w:val="20"/>
          <w:lang w:eastAsia="zh-CN"/>
        </w:rPr>
        <w:instrText xml:space="preserve"> ADDIN ZOTERO_ITEM CSL_CITATION {"citationID":"nS6Fek7V","properties":{"formattedCitation":"&lt;sup&gt;13,34&lt;/sup&gt;","plainCitation":"13,34","noteIndex":0},"citationItems":[{"id":1142,"uris":["http://zotero.org/groups/6329368/items/UK3NNRBZ"],"itemData":{"id":1142,"type":"article-journal","abstract":"The widespread application of generative artificial intelligence (GAI) and its ability to perform various tasks have raised concerns about identity threats. This study aims to investigate antecedents, behavioral consequences, and boundary conditions of GAI identity threat. We conduct a two-phase study using a mixed-methods approach. The qualitative phase aims to identify the critical factors that influence GAI identity threat. After coding 30 semi-structured interview transcripts, we find that GAI's high intelligence and human-like abilities facilitate three kinds of affordance that influence GAI identity threat: creative affordance, analysis affordance, and communication affordance. The quantitative phase, based on IT identity threat theory, constructs a research model to examine how the three types of affordance influence GAI identity threat, as well as identifying the behavioral consequences. An examination of survey data from 405 users indicates that GAI's creative affordance, analysis affordance, and communication affordance are associated with GAI identity threat, which may lead to users’ resistance behavior. Furthermore, GAI autonomy and user self-identity moderate the relationship between GAI affordances and GAI identity threat, respectively. This study identifies users’ negative psychological mechanisms when using AI, develops IT identity threat theory in the context of GAI, and provides implications for practitioners to reduce identity threats.","container-title":"Information &amp; Management","DOI":"10.1016/j.im.2024.104093","ISSN":"0378-7206","issue":"2","journalAbbreviation":"Information &amp; Management","page":"104093","source":"ScienceDirect","title":"GAI identity threat: When and why do individuals feel threatened?","title-short":"GAI identity threat","volume":"62","author":[{"family":"Zhou","given":"Jing"},{"family":"Lu","given":"Yaobin"},{"family":"Chen","given":"Qian"}],"issued":{"date-parts":[["2025",3,1]]}},"label":"page"},{"id":1230,"uris":["http://zotero.org/groups/6329368/items/6LYBPIMG"],"itemData":{"id":1230,"type":"article-journal","container-title":"Theses and Dissertations in Business Administration","DOI":"10.25777/838n-py61","source":"COinS","title":"Thriving in the Age of AI: Navigating AI Identity Threat Through AI Job Crafting","title-short":"Thriving in the Age of AI","URL":"https://digitalcommons.odu.edu/businessadministration_etds/157","author":[{"family":"He","given":"Yuming"}],"issued":{"date-parts":[["2025",6,1]]}},"label":"page"}],"schema":"https://github.com/citation-style-language/schema/raw/master/csl-citation.json"} </w:instrText>
      </w:r>
      <w:r>
        <w:rPr>
          <w:rFonts w:hint="default" w:ascii="Times New Roman" w:hAnsi="Times New Roman" w:eastAsia="宋体" w:cs="Times New Roman"/>
          <w:snapToGrid/>
          <w:color w:val="auto"/>
          <w:sz w:val="20"/>
          <w:szCs w:val="20"/>
          <w:lang w:eastAsia="zh-CN"/>
        </w:rPr>
        <w:fldChar w:fldCharType="separate"/>
      </w:r>
      <w:r>
        <w:rPr>
          <w:rFonts w:hint="eastAsia" w:ascii="Times New Roman" w:hAnsi="Times New Roman" w:eastAsia="宋体" w:cs="Times New Roman"/>
          <w:snapToGrid/>
          <w:color w:val="auto"/>
          <w:sz w:val="20"/>
          <w:szCs w:val="20"/>
          <w:vertAlign w:val="superscript"/>
          <w:lang w:eastAsia="zh-CN"/>
        </w:rPr>
        <w:t>13,34</w:t>
      </w:r>
      <w:r>
        <w:rPr>
          <w:rFonts w:hint="default" w:ascii="Times New Roman" w:hAnsi="Times New Roman" w:eastAsia="宋体" w:cs="Times New Roman"/>
          <w:snapToGrid/>
          <w:color w:val="auto"/>
          <w:sz w:val="20"/>
          <w:szCs w:val="20"/>
          <w:lang w:eastAsia="zh-CN"/>
        </w:rPr>
        <w:fldChar w:fldCharType="end"/>
      </w:r>
      <w:r>
        <w:rPr>
          <w:rFonts w:hint="default" w:ascii="Times New Roman" w:hAnsi="Times New Roman" w:eastAsia="宋体" w:cs="Times New Roman"/>
          <w:snapToGrid/>
          <w:color w:val="auto"/>
          <w:sz w:val="20"/>
          <w:szCs w:val="20"/>
          <w:lang w:eastAsia="zh-CN"/>
        </w:rPr>
        <w:t xml:space="preserve">. Furthermore, both GenAI proficiency, found to correlate with decreased anxiety in roughly 15% of studies, and clear usage guidelines represent important protective factors, suggesting that AI literacy should be systematically incorporated into education. </w:t>
      </w:r>
    </w:p>
    <w:p w14:paraId="37319F18">
      <w:pPr>
        <w:pStyle w:val="6"/>
        <w:snapToGrid/>
        <w:spacing w:before="55" w:line="480" w:lineRule="auto"/>
        <w:contextualSpacing/>
        <w:jc w:val="both"/>
        <w:outlineLvl w:val="2"/>
        <w:rPr>
          <w:rFonts w:ascii="Times New Roman" w:hAnsi="Times New Roman" w:eastAsia="宋体" w:cs="Times New Roman"/>
          <w:b/>
          <w:bCs/>
          <w:snapToGrid/>
          <w:sz w:val="20"/>
          <w:szCs w:val="20"/>
          <w:lang w:val="en-US" w:eastAsia="zh-CN" w:bidi="ar-SA"/>
        </w:rPr>
      </w:pPr>
      <w:r>
        <w:rPr>
          <w:rFonts w:hint="default" w:ascii="Times New Roman" w:hAnsi="Times New Roman" w:eastAsia="宋体" w:cs="Times New Roman"/>
          <w:b/>
          <w:bCs/>
          <w:snapToGrid/>
          <w:sz w:val="20"/>
          <w:szCs w:val="20"/>
          <w:lang w:val="en-US" w:eastAsia="zh-CN" w:bidi="ar-SA"/>
        </w:rPr>
        <w:t>RQ3:</w:t>
      </w:r>
      <w:r>
        <w:rPr>
          <w:rFonts w:ascii="Times New Roman" w:hAnsi="Times New Roman" w:eastAsia="宋体" w:cs="Times New Roman"/>
          <w:b/>
          <w:bCs/>
          <w:snapToGrid/>
          <w:sz w:val="20"/>
          <w:szCs w:val="20"/>
          <w:lang w:val="en-US" w:eastAsia="zh-CN" w:bidi="ar-SA"/>
        </w:rPr>
        <w:t xml:space="preserve"> </w:t>
      </w:r>
      <w:r>
        <w:rPr>
          <w:rFonts w:hint="default" w:ascii="Times New Roman" w:hAnsi="Times New Roman" w:eastAsia="宋体" w:cs="Times New Roman"/>
          <w:b/>
          <w:bCs/>
          <w:snapToGrid/>
          <w:sz w:val="20"/>
          <w:szCs w:val="20"/>
          <w:lang w:val="en-US" w:eastAsia="zh-CN" w:bidi="ar-SA"/>
        </w:rPr>
        <w:t>What is the gap for future work?</w:t>
      </w:r>
    </w:p>
    <w:p w14:paraId="7E398764">
      <w:pPr>
        <w:kinsoku/>
        <w:adjustRightInd/>
        <w:snapToGrid/>
        <w:jc w:val="both"/>
        <w:textAlignment w:val="auto"/>
        <w:outlineLvl w:val="1"/>
        <w:rPr>
          <w:rFonts w:hint="default" w:ascii="Times New Roman" w:hAnsi="Times New Roman" w:eastAsia="宋体" w:cs="Times New Roman"/>
          <w:snapToGrid/>
          <w:color w:val="auto"/>
          <w:sz w:val="20"/>
          <w:szCs w:val="20"/>
          <w:lang w:eastAsia="zh-CN"/>
        </w:rPr>
      </w:pPr>
      <w:r>
        <w:rPr>
          <w:rFonts w:hint="default" w:ascii="Times New Roman" w:hAnsi="Times New Roman" w:eastAsia="宋体" w:cs="Times New Roman"/>
          <w:snapToGrid/>
          <w:color w:val="auto"/>
          <w:sz w:val="20"/>
          <w:szCs w:val="20"/>
          <w:lang w:eastAsia="zh-CN"/>
        </w:rPr>
        <w:t xml:space="preserve">Our analysis of future research recommend across 20 studies reveals a field grappling with fundamental questions about how generative </w:t>
      </w:r>
      <w:r>
        <w:rPr>
          <w:rFonts w:hint="eastAsia" w:ascii="Times New Roman" w:hAnsi="Times New Roman" w:eastAsia="宋体" w:cs="Times New Roman"/>
          <w:snapToGrid/>
          <w:color w:val="auto"/>
          <w:sz w:val="20"/>
          <w:szCs w:val="20"/>
          <w:lang w:val="en-US" w:eastAsia="zh-CN"/>
        </w:rPr>
        <w:t>Gen</w:t>
      </w:r>
      <w:r>
        <w:rPr>
          <w:rFonts w:hint="default" w:ascii="Times New Roman" w:hAnsi="Times New Roman" w:eastAsia="宋体" w:cs="Times New Roman"/>
          <w:snapToGrid/>
          <w:color w:val="auto"/>
          <w:sz w:val="20"/>
          <w:szCs w:val="20"/>
          <w:lang w:eastAsia="zh-CN"/>
        </w:rPr>
        <w:t xml:space="preserve">AI should be integrated into design pedagogy. To provide a structured overview of these unresolved issues before detailing their frequencies in Table 3, </w:t>
      </w:r>
      <w:r>
        <w:rPr>
          <w:rFonts w:hint="eastAsia" w:ascii="Times New Roman" w:hAnsi="Times New Roman" w:eastAsia="宋体" w:cs="Times New Roman"/>
          <w:snapToGrid/>
          <w:color w:val="auto"/>
          <w:sz w:val="20"/>
          <w:szCs w:val="20"/>
          <w:lang w:val="en-US" w:eastAsia="zh-CN"/>
        </w:rPr>
        <w:t>Figure</w:t>
      </w:r>
      <w:r>
        <w:rPr>
          <w:rFonts w:hint="default" w:ascii="Times New Roman" w:hAnsi="Times New Roman" w:eastAsia="宋体" w:cs="Times New Roman"/>
          <w:snapToGrid/>
          <w:color w:val="auto"/>
          <w:sz w:val="20"/>
          <w:szCs w:val="20"/>
          <w:lang w:eastAsia="zh-CN"/>
        </w:rPr>
        <w:t xml:space="preserve"> </w:t>
      </w:r>
      <w:r>
        <w:rPr>
          <w:rFonts w:hint="eastAsia" w:ascii="Times New Roman" w:hAnsi="Times New Roman" w:eastAsia="宋体" w:cs="Times New Roman"/>
          <w:snapToGrid/>
          <w:color w:val="auto"/>
          <w:sz w:val="20"/>
          <w:szCs w:val="20"/>
          <w:lang w:val="en-US" w:eastAsia="zh-CN"/>
        </w:rPr>
        <w:t>4</w:t>
      </w:r>
      <w:r>
        <w:rPr>
          <w:rFonts w:hint="default" w:ascii="Times New Roman" w:hAnsi="Times New Roman" w:eastAsia="宋体" w:cs="Times New Roman"/>
          <w:snapToGrid/>
          <w:color w:val="auto"/>
          <w:sz w:val="20"/>
          <w:szCs w:val="20"/>
          <w:lang w:eastAsia="zh-CN"/>
        </w:rPr>
        <w:t xml:space="preserve"> maps the landscape of research gaps in GenAI-assisted creative education.</w:t>
      </w:r>
      <w:r>
        <w:rPr>
          <w:rFonts w:hint="eastAsia" w:ascii="Times New Roman" w:hAnsi="Times New Roman" w:eastAsia="宋体" w:cs="Times New Roman"/>
          <w:snapToGrid/>
          <w:color w:val="auto"/>
          <w:sz w:val="20"/>
          <w:szCs w:val="20"/>
          <w:lang w:val="en-US" w:eastAsia="zh-CN"/>
        </w:rPr>
        <w:t xml:space="preserve"> </w:t>
      </w:r>
      <w:r>
        <w:rPr>
          <w:rFonts w:hint="default" w:ascii="Times New Roman" w:hAnsi="Times New Roman" w:eastAsia="宋体" w:cs="Times New Roman"/>
          <w:snapToGrid/>
          <w:color w:val="auto"/>
          <w:sz w:val="20"/>
          <w:szCs w:val="20"/>
          <w:lang w:eastAsia="zh-CN"/>
        </w:rPr>
        <w:t>While existing research has documented various applications of GenAI tools in educational settings, the gap statements authors articulate point to deeper epistemological and methodological challenges that remain largely unresolved</w:t>
      </w:r>
      <w:r>
        <w:rPr>
          <w:rFonts w:hint="default" w:ascii="Times New Roman" w:hAnsi="Times New Roman" w:eastAsia="宋体" w:cs="Times New Roman"/>
          <w:snapToGrid/>
          <w:color w:val="auto"/>
          <w:sz w:val="20"/>
          <w:szCs w:val="20"/>
          <w:lang w:eastAsia="zh-CN"/>
        </w:rPr>
        <w:fldChar w:fldCharType="begin"/>
      </w:r>
      <w:r>
        <w:rPr>
          <w:rFonts w:hint="eastAsia" w:ascii="Times New Roman" w:hAnsi="Times New Roman" w:eastAsia="宋体" w:cs="Times New Roman"/>
          <w:snapToGrid/>
          <w:color w:val="auto"/>
          <w:sz w:val="20"/>
          <w:szCs w:val="20"/>
          <w:lang w:eastAsia="zh-CN"/>
        </w:rPr>
        <w:instrText xml:space="preserve"> ADDIN ZOTERO_ITEM CSL_CITATION {"citationID":"DuokIXM8","properties":{"formattedCitation":"&lt;sup&gt;35&lt;/sup&gt;","plainCitation":"35","noteIndex":0},"citationItems":[{"id":1213,"uris":["http://zotero.org/groups/6329368/items/96SX45KD"],"itemData":{"id":1213,"type":"article-journal","abstract":"Over the past decade, the growth in generative artificial intelligence (GenAI) is reshaping and changing how we interact, learn, and work and is likely to bring ongoing change in the future. However, current educational understandings, frameworks, and models concerning digital technologies and digital literacies are remaining relatively static and hierarchical and do not adequately accommodate GenAI's unique learning capabilities, creative potential, and agency. In this conceptual article we use critical dialogic inquiry and employ ecological thinking using the notion of symbiosis and posthuman perspectives to explore and speculate about the nature of GenAI and its potential impact on educators and learners. We offer a new way of conceptualizing human relationships with GenAI, which we call \"symbi(AI)tic understandings.\" Symbi(AI)tic understandings acknowledge the evolving and contextual relationships between partners: from balanced mutualism to one-sided commensalism to potentially harmful parasitism. Thus, we position human-GenAI relationships as part of change futures in which there are complex associations between technology and human endeavor. These understandings aim to foster more nuanced ways of being with and thinking about technology: ways which are vital for educators and learners as they transition into an era of education with AI.\n \n \nReceived: 19 September 2024 | Revised: 26 November 2024 | Accepted: 18 December 2024\n \nConflicts of Interest\nThe authors declare that they have no conflicts of interest to this work.\n \nData Availability Statement\nData sharing is not applicable to this article as no new data were created or analyzed in this study.\n \nAuthor Contribution Statement\nEdwin Creely: Conceptualization, Methodology, Software, Validation, Formal analysis, Investigation, Resources, Data curation, Writing - original draft, Writing - review &amp;amp; editing, Visualization, Supervision, Project administration.  Kitty Janssen: Conceptualization, Methodology, Software, Formal analysis, Investigation, Resources, Data curation, Writing - original draft, Writing - review &amp;amp; editing, Visualization.","container-title":"International Journal of Changes in Education","DOI":"10.47852/bonviewIJCE52024380","ISSN":"3029-133X","issue":"2","language":"en","license":"Copyright (c) 2025 Authors","page":"55-65","source":"ojs.bonviewpress.com","title":"Onto-epistemological Understandings of Generative Artificial Intelligence in Education","volume":"2","author":[{"family":"Creely","given":"Edwin"},{"family":"Janssen","given":"Kitty"}],"issued":{"date-parts":[["2025",1,2]]}}}],"schema":"https://github.com/citation-style-language/schema/raw/master/csl-citation.json"} </w:instrText>
      </w:r>
      <w:r>
        <w:rPr>
          <w:rFonts w:hint="default" w:ascii="Times New Roman" w:hAnsi="Times New Roman" w:eastAsia="宋体" w:cs="Times New Roman"/>
          <w:snapToGrid/>
          <w:color w:val="auto"/>
          <w:sz w:val="20"/>
          <w:szCs w:val="20"/>
          <w:lang w:eastAsia="zh-CN"/>
        </w:rPr>
        <w:fldChar w:fldCharType="separate"/>
      </w:r>
      <w:r>
        <w:rPr>
          <w:rFonts w:hint="eastAsia" w:ascii="Times New Roman" w:hAnsi="Times New Roman" w:eastAsia="宋体" w:cs="Times New Roman"/>
          <w:snapToGrid/>
          <w:color w:val="auto"/>
          <w:sz w:val="20"/>
          <w:szCs w:val="20"/>
          <w:vertAlign w:val="superscript"/>
          <w:lang w:eastAsia="zh-CN"/>
        </w:rPr>
        <w:t>35</w:t>
      </w:r>
      <w:r>
        <w:rPr>
          <w:rFonts w:hint="default" w:ascii="Times New Roman" w:hAnsi="Times New Roman" w:eastAsia="宋体" w:cs="Times New Roman"/>
          <w:snapToGrid/>
          <w:color w:val="auto"/>
          <w:sz w:val="20"/>
          <w:szCs w:val="20"/>
          <w:lang w:eastAsia="zh-CN"/>
        </w:rPr>
        <w:fldChar w:fldCharType="end"/>
      </w:r>
      <w:r>
        <w:rPr>
          <w:rFonts w:hint="default" w:ascii="Times New Roman" w:hAnsi="Times New Roman" w:eastAsia="宋体" w:cs="Times New Roman"/>
          <w:snapToGrid/>
          <w:color w:val="auto"/>
          <w:sz w:val="20"/>
          <w:szCs w:val="20"/>
          <w:lang w:eastAsia="zh-CN"/>
        </w:rPr>
        <w:t>.</w:t>
      </w:r>
    </w:p>
    <w:p w14:paraId="68E75A91">
      <w:pPr>
        <w:pStyle w:val="6"/>
        <w:snapToGrid/>
        <w:spacing w:before="55" w:line="480" w:lineRule="auto"/>
        <w:contextualSpacing/>
        <w:jc w:val="both"/>
        <w:outlineLvl w:val="2"/>
        <w:rPr>
          <w:rFonts w:hint="default" w:ascii="Times New Roman" w:hAnsi="Times New Roman" w:cs="Times New Roman"/>
          <w:spacing w:val="4"/>
          <w:position w:val="2"/>
          <w:sz w:val="24"/>
          <w:szCs w:val="24"/>
          <w:lang w:val="en-US" w:eastAsia="zh-CN"/>
        </w:rPr>
      </w:pPr>
      <w:r>
        <w:rPr>
          <w:rFonts w:hint="default" w:ascii="Times New Roman" w:hAnsi="Times New Roman" w:cs="Times New Roman"/>
          <w:spacing w:val="4"/>
          <w:position w:val="2"/>
          <w:sz w:val="24"/>
          <w:szCs w:val="24"/>
          <w:lang w:val="en-US" w:eastAsia="zh-CN"/>
        </w:rPr>
        <w:object>
          <v:shape id="_x0000_i1025" o:spt="75" type="#_x0000_t75" style="height:237.15pt;width:401.95pt;" o:ole="t" filled="f" o:preferrelative="t" stroked="f" coordsize="21600,21600">
            <v:path/>
            <v:fill on="f" focussize="0,0"/>
            <v:stroke on="f"/>
            <v:imagedata r:id="rId11" o:title=""/>
            <o:lock v:ext="edit" aspectratio="f"/>
            <w10:wrap type="none"/>
            <w10:anchorlock/>
          </v:shape>
          <o:OLEObject Type="Embed" ProgID="Visio.Drawing.15" ShapeID="_x0000_i1025" DrawAspect="Content" ObjectID="_1468075725" r:id="rId10">
            <o:LockedField>false</o:LockedField>
          </o:OLEObject>
        </w:object>
      </w:r>
    </w:p>
    <w:p w14:paraId="610286AA">
      <w:pPr>
        <w:widowControl w:val="0"/>
        <w:kinsoku/>
        <w:autoSpaceDE/>
        <w:autoSpaceDN/>
        <w:adjustRightInd/>
        <w:snapToGrid/>
        <w:jc w:val="both"/>
        <w:textAlignment w:val="auto"/>
        <w:rPr>
          <w:rFonts w:hint="eastAsia" w:ascii="Times New Roman" w:hAnsi="Times New Roman" w:cs="Times New Roman" w:eastAsiaTheme="minorEastAsia"/>
          <w:b w:val="0"/>
          <w:bCs w:val="0"/>
          <w:snapToGrid/>
          <w:kern w:val="2"/>
          <w:sz w:val="18"/>
          <w:szCs w:val="18"/>
          <w:lang w:val="en-US" w:eastAsia="zh-CN"/>
        </w:rPr>
      </w:pPr>
      <w:r>
        <w:rPr>
          <w:rFonts w:hint="eastAsia" w:ascii="Times New Roman" w:hAnsi="Times New Roman" w:cs="Times New Roman" w:eastAsiaTheme="minorEastAsia"/>
          <w:b/>
          <w:bCs/>
          <w:snapToGrid/>
          <w:kern w:val="2"/>
          <w:sz w:val="18"/>
          <w:szCs w:val="18"/>
          <w:lang w:val="en-US" w:eastAsia="zh-CN"/>
        </w:rPr>
        <w:t xml:space="preserve">Figure 4. </w:t>
      </w:r>
      <w:r>
        <w:rPr>
          <w:rFonts w:hint="eastAsia" w:ascii="Times New Roman" w:hAnsi="Times New Roman" w:cs="Times New Roman" w:eastAsiaTheme="minorEastAsia"/>
          <w:b w:val="0"/>
          <w:bCs w:val="0"/>
          <w:snapToGrid/>
          <w:kern w:val="2"/>
          <w:sz w:val="18"/>
          <w:szCs w:val="18"/>
          <w:lang w:val="en-US" w:eastAsia="zh-CN"/>
        </w:rPr>
        <w:t>Landscape of research gaps in studies on GenAI-related psychological challenges in creative education</w:t>
      </w:r>
    </w:p>
    <w:p w14:paraId="6E117D7C">
      <w:pPr>
        <w:widowControl w:val="0"/>
        <w:kinsoku/>
        <w:autoSpaceDE/>
        <w:autoSpaceDN/>
        <w:adjustRightInd/>
        <w:snapToGrid/>
        <w:jc w:val="both"/>
        <w:textAlignment w:val="auto"/>
        <w:rPr>
          <w:rFonts w:hint="default" w:ascii="Times New Roman" w:hAnsi="Times New Roman" w:cs="Times New Roman" w:eastAsiaTheme="minorEastAsia"/>
          <w:b w:val="0"/>
          <w:bCs w:val="0"/>
          <w:snapToGrid/>
          <w:kern w:val="2"/>
          <w:sz w:val="18"/>
          <w:szCs w:val="18"/>
          <w:lang w:val="en-US" w:eastAsia="zh-CN"/>
        </w:rPr>
      </w:pPr>
    </w:p>
    <w:tbl>
      <w:tblPr>
        <w:tblStyle w:val="11"/>
        <w:tblW w:w="4782" w:type="dxa"/>
        <w:jc w:val="center"/>
        <w:shd w:val="clear" w:color="auto" w:fill="FFFFFF"/>
        <w:tblLayout w:type="autofit"/>
        <w:tblCellMar>
          <w:top w:w="0" w:type="dxa"/>
          <w:left w:w="0" w:type="dxa"/>
          <w:bottom w:w="0" w:type="dxa"/>
          <w:right w:w="0" w:type="dxa"/>
        </w:tblCellMar>
      </w:tblPr>
      <w:tblGrid>
        <w:gridCol w:w="752"/>
        <w:gridCol w:w="1150"/>
        <w:gridCol w:w="1470"/>
        <w:gridCol w:w="1410"/>
      </w:tblGrid>
      <w:tr w14:paraId="0F40BC5A">
        <w:tblPrEx>
          <w:shd w:val="clear" w:color="auto" w:fill="FFFFFF"/>
          <w:tblCellMar>
            <w:top w:w="0" w:type="dxa"/>
            <w:left w:w="0" w:type="dxa"/>
            <w:bottom w:w="0" w:type="dxa"/>
            <w:right w:w="0" w:type="dxa"/>
          </w:tblCellMar>
        </w:tblPrEx>
        <w:trPr>
          <w:trHeight w:val="0" w:hRule="atLeast"/>
          <w:tblHeader/>
          <w:jc w:val="center"/>
        </w:trPr>
        <w:tc>
          <w:tcPr>
            <w:tcW w:w="752" w:type="dxa"/>
            <w:tcBorders>
              <w:top w:val="single" w:color="auto" w:sz="12" w:space="0"/>
              <w:bottom w:val="single" w:color="auto" w:sz="8" w:space="0"/>
            </w:tcBorders>
            <w:shd w:val="clear" w:color="auto" w:fill="D7D7D7" w:themeFill="background1" w:themeFillShade="D8"/>
            <w:noWrap w:val="0"/>
            <w:vAlign w:val="center"/>
          </w:tcPr>
          <w:p w14:paraId="678AAC41">
            <w:pPr>
              <w:snapToGrid w:val="0"/>
              <w:spacing w:line="240" w:lineRule="auto"/>
              <w:ind w:left="0" w:leftChars="0" w:right="0" w:rightChars="0" w:firstLine="0" w:firstLineChars="0"/>
              <w:contextualSpacing/>
              <w:jc w:val="center"/>
              <w:rPr>
                <w:rFonts w:hint="default" w:ascii="Times New Roman" w:hAnsi="Times New Roman" w:eastAsia="Calibri" w:cs="Times New Roman"/>
                <w:b/>
                <w:spacing w:val="4"/>
                <w:position w:val="2"/>
                <w:sz w:val="18"/>
                <w:szCs w:val="18"/>
                <w:lang w:eastAsia="zh-CN"/>
              </w:rPr>
            </w:pPr>
            <w:r>
              <w:rPr>
                <w:rFonts w:hint="default" w:ascii="Times New Roman" w:hAnsi="Times New Roman" w:eastAsia="Calibri" w:cs="Times New Roman"/>
                <w:b/>
                <w:spacing w:val="4"/>
                <w:position w:val="2"/>
                <w:sz w:val="18"/>
                <w:szCs w:val="18"/>
                <w:lang w:eastAsia="zh-CN"/>
              </w:rPr>
              <w:t>Item</w:t>
            </w:r>
          </w:p>
        </w:tc>
        <w:tc>
          <w:tcPr>
            <w:tcW w:w="1150" w:type="dxa"/>
            <w:tcBorders>
              <w:top w:val="single" w:color="auto" w:sz="12" w:space="0"/>
              <w:bottom w:val="single" w:color="auto" w:sz="8" w:space="0"/>
            </w:tcBorders>
            <w:shd w:val="clear" w:color="auto" w:fill="D7D7D7" w:themeFill="background1" w:themeFillShade="D8"/>
            <w:noWrap w:val="0"/>
            <w:vAlign w:val="center"/>
          </w:tcPr>
          <w:p w14:paraId="0AE3EECA">
            <w:pPr>
              <w:snapToGrid w:val="0"/>
              <w:spacing w:line="240" w:lineRule="auto"/>
              <w:ind w:left="0" w:leftChars="0" w:right="0" w:rightChars="0" w:firstLine="0" w:firstLineChars="0"/>
              <w:contextualSpacing/>
              <w:jc w:val="center"/>
              <w:rPr>
                <w:rFonts w:hint="default" w:ascii="Times New Roman" w:hAnsi="Times New Roman" w:eastAsia="Calibri" w:cs="Times New Roman"/>
                <w:b/>
                <w:spacing w:val="4"/>
                <w:position w:val="2"/>
                <w:sz w:val="18"/>
                <w:szCs w:val="18"/>
                <w:lang w:eastAsia="zh-CN"/>
              </w:rPr>
            </w:pPr>
            <w:r>
              <w:rPr>
                <w:rFonts w:hint="default" w:ascii="Times New Roman" w:hAnsi="Times New Roman" w:eastAsia="Calibri" w:cs="Times New Roman"/>
                <w:b/>
                <w:spacing w:val="4"/>
                <w:position w:val="2"/>
                <w:sz w:val="18"/>
                <w:szCs w:val="18"/>
                <w:lang w:eastAsia="zh-CN"/>
              </w:rPr>
              <w:t>Option</w:t>
            </w:r>
          </w:p>
        </w:tc>
        <w:tc>
          <w:tcPr>
            <w:tcW w:w="1470" w:type="dxa"/>
            <w:tcBorders>
              <w:top w:val="single" w:color="auto" w:sz="12" w:space="0"/>
              <w:bottom w:val="single" w:color="auto" w:sz="8" w:space="0"/>
            </w:tcBorders>
            <w:shd w:val="clear" w:color="auto" w:fill="D7D7D7" w:themeFill="background1" w:themeFillShade="D8"/>
            <w:noWrap w:val="0"/>
            <w:vAlign w:val="center"/>
          </w:tcPr>
          <w:p w14:paraId="3FDEEAD6">
            <w:pPr>
              <w:snapToGrid w:val="0"/>
              <w:spacing w:line="240" w:lineRule="auto"/>
              <w:ind w:left="0" w:leftChars="0" w:right="0" w:rightChars="0" w:firstLine="0" w:firstLineChars="0"/>
              <w:contextualSpacing/>
              <w:jc w:val="center"/>
              <w:rPr>
                <w:rFonts w:hint="default" w:ascii="Times New Roman" w:hAnsi="Times New Roman" w:eastAsia="Calibri" w:cs="Times New Roman"/>
                <w:b/>
                <w:spacing w:val="4"/>
                <w:position w:val="2"/>
                <w:sz w:val="18"/>
                <w:szCs w:val="18"/>
                <w:lang w:eastAsia="zh-CN"/>
              </w:rPr>
            </w:pPr>
            <w:r>
              <w:rPr>
                <w:rFonts w:hint="default" w:ascii="Times New Roman" w:hAnsi="Times New Roman" w:eastAsia="Calibri" w:cs="Times New Roman"/>
                <w:b/>
                <w:spacing w:val="4"/>
                <w:position w:val="2"/>
                <w:sz w:val="18"/>
                <w:szCs w:val="18"/>
                <w:lang w:eastAsia="zh-CN"/>
              </w:rPr>
              <w:t>Frequency</w:t>
            </w:r>
          </w:p>
        </w:tc>
        <w:tc>
          <w:tcPr>
            <w:tcW w:w="1410" w:type="dxa"/>
            <w:tcBorders>
              <w:top w:val="single" w:color="auto" w:sz="12" w:space="0"/>
              <w:bottom w:val="single" w:color="auto" w:sz="8" w:space="0"/>
            </w:tcBorders>
            <w:shd w:val="clear" w:color="auto" w:fill="D7D7D7" w:themeFill="background1" w:themeFillShade="D8"/>
            <w:noWrap w:val="0"/>
            <w:vAlign w:val="center"/>
          </w:tcPr>
          <w:p w14:paraId="2916CDFD">
            <w:pPr>
              <w:snapToGrid w:val="0"/>
              <w:spacing w:line="240" w:lineRule="auto"/>
              <w:ind w:left="0" w:leftChars="0" w:right="0" w:rightChars="0" w:firstLine="0" w:firstLineChars="0"/>
              <w:contextualSpacing/>
              <w:jc w:val="center"/>
              <w:rPr>
                <w:rFonts w:hint="default" w:ascii="Times New Roman" w:hAnsi="Times New Roman" w:eastAsia="Calibri" w:cs="Times New Roman"/>
                <w:b/>
                <w:spacing w:val="4"/>
                <w:position w:val="2"/>
                <w:sz w:val="18"/>
                <w:szCs w:val="18"/>
                <w:lang w:eastAsia="zh-CN"/>
              </w:rPr>
            </w:pPr>
            <w:r>
              <w:rPr>
                <w:rFonts w:hint="default" w:ascii="Times New Roman" w:hAnsi="Times New Roman" w:eastAsia="Calibri" w:cs="Times New Roman"/>
                <w:b/>
                <w:spacing w:val="4"/>
                <w:position w:val="2"/>
                <w:sz w:val="18"/>
                <w:szCs w:val="18"/>
                <w:lang w:eastAsia="zh-CN"/>
              </w:rPr>
              <w:t>Percentage(%)</w:t>
            </w:r>
          </w:p>
        </w:tc>
      </w:tr>
      <w:tr w14:paraId="61B38805">
        <w:tblPrEx>
          <w:tblCellMar>
            <w:top w:w="0" w:type="dxa"/>
            <w:left w:w="0" w:type="dxa"/>
            <w:bottom w:w="0" w:type="dxa"/>
            <w:right w:w="0" w:type="dxa"/>
          </w:tblCellMar>
        </w:tblPrEx>
        <w:trPr>
          <w:trHeight w:val="0" w:hRule="atLeast"/>
          <w:jc w:val="center"/>
        </w:trPr>
        <w:tc>
          <w:tcPr>
            <w:tcW w:w="752" w:type="dxa"/>
            <w:vMerge w:val="restart"/>
            <w:tcBorders>
              <w:top w:val="single" w:color="auto" w:sz="8" w:space="0"/>
              <w:left w:val="nil"/>
              <w:bottom w:val="nil"/>
              <w:right w:val="nil"/>
            </w:tcBorders>
            <w:shd w:val="clear" w:color="auto" w:fill="FFFFFF"/>
            <w:noWrap w:val="0"/>
            <w:vAlign w:val="center"/>
          </w:tcPr>
          <w:p w14:paraId="095F9CCF">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C1</w:t>
            </w:r>
          </w:p>
        </w:tc>
        <w:tc>
          <w:tcPr>
            <w:tcW w:w="1150" w:type="dxa"/>
            <w:tcBorders>
              <w:top w:val="single" w:color="auto" w:sz="8" w:space="0"/>
              <w:left w:val="nil"/>
              <w:bottom w:val="nil"/>
              <w:right w:val="nil"/>
            </w:tcBorders>
            <w:shd w:val="clear" w:color="auto" w:fill="FFFFFF"/>
            <w:noWrap w:val="0"/>
            <w:vAlign w:val="center"/>
          </w:tcPr>
          <w:p w14:paraId="2C32ECBE">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0.0</w:t>
            </w:r>
          </w:p>
        </w:tc>
        <w:tc>
          <w:tcPr>
            <w:tcW w:w="1470" w:type="dxa"/>
            <w:tcBorders>
              <w:top w:val="single" w:color="auto" w:sz="8" w:space="0"/>
              <w:left w:val="nil"/>
              <w:bottom w:val="nil"/>
              <w:right w:val="nil"/>
            </w:tcBorders>
            <w:shd w:val="clear" w:color="auto" w:fill="FFFFFF"/>
            <w:noWrap w:val="0"/>
            <w:vAlign w:val="center"/>
          </w:tcPr>
          <w:p w14:paraId="6C07476E">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15</w:t>
            </w:r>
          </w:p>
        </w:tc>
        <w:tc>
          <w:tcPr>
            <w:tcW w:w="1410" w:type="dxa"/>
            <w:tcBorders>
              <w:top w:val="single" w:color="auto" w:sz="8" w:space="0"/>
              <w:left w:val="nil"/>
              <w:bottom w:val="nil"/>
              <w:right w:val="nil"/>
            </w:tcBorders>
            <w:shd w:val="clear" w:color="auto" w:fill="FFFFFF"/>
            <w:noWrap w:val="0"/>
            <w:vAlign w:val="center"/>
          </w:tcPr>
          <w:p w14:paraId="076BF57A">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75</w:t>
            </w:r>
          </w:p>
        </w:tc>
      </w:tr>
      <w:tr w14:paraId="0603BF66">
        <w:tblPrEx>
          <w:shd w:val="clear" w:color="auto" w:fill="FFFFFF"/>
          <w:tblCellMar>
            <w:top w:w="0" w:type="dxa"/>
            <w:left w:w="0" w:type="dxa"/>
            <w:bottom w:w="0" w:type="dxa"/>
            <w:right w:w="0" w:type="dxa"/>
          </w:tblCellMar>
        </w:tblPrEx>
        <w:trPr>
          <w:trHeight w:val="0" w:hRule="atLeast"/>
          <w:jc w:val="center"/>
        </w:trPr>
        <w:tc>
          <w:tcPr>
            <w:tcW w:w="752" w:type="dxa"/>
            <w:vMerge w:val="continue"/>
            <w:tcBorders>
              <w:top w:val="nil"/>
              <w:left w:val="nil"/>
              <w:bottom w:val="nil"/>
              <w:right w:val="nil"/>
            </w:tcBorders>
            <w:shd w:val="clear" w:color="auto" w:fill="FFFFFF"/>
            <w:noWrap w:val="0"/>
            <w:vAlign w:val="center"/>
          </w:tcPr>
          <w:p w14:paraId="293F156E">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p>
        </w:tc>
        <w:tc>
          <w:tcPr>
            <w:tcW w:w="1150" w:type="dxa"/>
            <w:tcBorders>
              <w:top w:val="nil"/>
              <w:left w:val="nil"/>
              <w:bottom w:val="nil"/>
              <w:right w:val="nil"/>
            </w:tcBorders>
            <w:shd w:val="clear" w:color="auto" w:fill="FFFFFF"/>
            <w:noWrap w:val="0"/>
            <w:vAlign w:val="center"/>
          </w:tcPr>
          <w:p w14:paraId="73FE2DD6">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1.0</w:t>
            </w:r>
          </w:p>
        </w:tc>
        <w:tc>
          <w:tcPr>
            <w:tcW w:w="1470" w:type="dxa"/>
            <w:tcBorders>
              <w:top w:val="nil"/>
              <w:left w:val="nil"/>
              <w:bottom w:val="nil"/>
              <w:right w:val="nil"/>
            </w:tcBorders>
            <w:shd w:val="clear" w:color="auto" w:fill="FFFFFF"/>
            <w:noWrap w:val="0"/>
            <w:vAlign w:val="center"/>
          </w:tcPr>
          <w:p w14:paraId="44B898F7">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5</w:t>
            </w:r>
          </w:p>
        </w:tc>
        <w:tc>
          <w:tcPr>
            <w:tcW w:w="1410" w:type="dxa"/>
            <w:tcBorders>
              <w:top w:val="nil"/>
              <w:left w:val="nil"/>
              <w:bottom w:val="nil"/>
              <w:right w:val="nil"/>
            </w:tcBorders>
            <w:shd w:val="clear" w:color="auto" w:fill="FFFFFF"/>
            <w:noWrap w:val="0"/>
            <w:vAlign w:val="center"/>
          </w:tcPr>
          <w:p w14:paraId="634CDAC0">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25</w:t>
            </w:r>
          </w:p>
        </w:tc>
      </w:tr>
      <w:tr w14:paraId="29587C30">
        <w:tblPrEx>
          <w:shd w:val="clear" w:color="auto" w:fill="FFFFFF"/>
          <w:tblCellMar>
            <w:top w:w="0" w:type="dxa"/>
            <w:left w:w="0" w:type="dxa"/>
            <w:bottom w:w="0" w:type="dxa"/>
            <w:right w:w="0" w:type="dxa"/>
          </w:tblCellMar>
        </w:tblPrEx>
        <w:trPr>
          <w:trHeight w:val="0" w:hRule="atLeast"/>
          <w:jc w:val="center"/>
        </w:trPr>
        <w:tc>
          <w:tcPr>
            <w:tcW w:w="752" w:type="dxa"/>
            <w:vMerge w:val="restart"/>
            <w:tcBorders>
              <w:top w:val="nil"/>
              <w:left w:val="nil"/>
              <w:bottom w:val="nil"/>
              <w:right w:val="nil"/>
            </w:tcBorders>
            <w:shd w:val="clear" w:color="auto" w:fill="FFFFFF"/>
            <w:noWrap w:val="0"/>
            <w:vAlign w:val="center"/>
          </w:tcPr>
          <w:p w14:paraId="0902675A">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C2</w:t>
            </w:r>
          </w:p>
        </w:tc>
        <w:tc>
          <w:tcPr>
            <w:tcW w:w="1150" w:type="dxa"/>
            <w:tcBorders>
              <w:top w:val="nil"/>
              <w:left w:val="nil"/>
              <w:bottom w:val="nil"/>
              <w:right w:val="nil"/>
            </w:tcBorders>
            <w:shd w:val="clear" w:color="auto" w:fill="FFFFFF"/>
            <w:noWrap w:val="0"/>
            <w:vAlign w:val="center"/>
          </w:tcPr>
          <w:p w14:paraId="0EA2BA7A">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0.0</w:t>
            </w:r>
          </w:p>
        </w:tc>
        <w:tc>
          <w:tcPr>
            <w:tcW w:w="1470" w:type="dxa"/>
            <w:tcBorders>
              <w:top w:val="nil"/>
              <w:left w:val="nil"/>
              <w:bottom w:val="nil"/>
              <w:right w:val="nil"/>
            </w:tcBorders>
            <w:shd w:val="clear" w:color="auto" w:fill="FFFFFF"/>
            <w:noWrap w:val="0"/>
            <w:vAlign w:val="center"/>
          </w:tcPr>
          <w:p w14:paraId="501C63C6">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16</w:t>
            </w:r>
          </w:p>
        </w:tc>
        <w:tc>
          <w:tcPr>
            <w:tcW w:w="1410" w:type="dxa"/>
            <w:tcBorders>
              <w:top w:val="nil"/>
              <w:left w:val="nil"/>
              <w:bottom w:val="nil"/>
              <w:right w:val="nil"/>
            </w:tcBorders>
            <w:shd w:val="clear" w:color="auto" w:fill="FFFFFF"/>
            <w:noWrap w:val="0"/>
            <w:vAlign w:val="center"/>
          </w:tcPr>
          <w:p w14:paraId="6445EA2B">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80</w:t>
            </w:r>
          </w:p>
        </w:tc>
      </w:tr>
      <w:tr w14:paraId="591C0CAE">
        <w:tblPrEx>
          <w:shd w:val="clear" w:color="auto" w:fill="FFFFFF"/>
          <w:tblCellMar>
            <w:top w:w="0" w:type="dxa"/>
            <w:left w:w="0" w:type="dxa"/>
            <w:bottom w:w="0" w:type="dxa"/>
            <w:right w:w="0" w:type="dxa"/>
          </w:tblCellMar>
        </w:tblPrEx>
        <w:trPr>
          <w:trHeight w:val="0" w:hRule="atLeast"/>
          <w:jc w:val="center"/>
        </w:trPr>
        <w:tc>
          <w:tcPr>
            <w:tcW w:w="752" w:type="dxa"/>
            <w:vMerge w:val="continue"/>
            <w:tcBorders>
              <w:top w:val="nil"/>
              <w:left w:val="nil"/>
              <w:bottom w:val="nil"/>
              <w:right w:val="nil"/>
            </w:tcBorders>
            <w:shd w:val="clear" w:color="auto" w:fill="FFFFFF"/>
            <w:noWrap w:val="0"/>
            <w:vAlign w:val="center"/>
          </w:tcPr>
          <w:p w14:paraId="11F3C39C">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p>
        </w:tc>
        <w:tc>
          <w:tcPr>
            <w:tcW w:w="1150" w:type="dxa"/>
            <w:tcBorders>
              <w:top w:val="nil"/>
              <w:left w:val="nil"/>
              <w:bottom w:val="nil"/>
              <w:right w:val="nil"/>
            </w:tcBorders>
            <w:shd w:val="clear" w:color="auto" w:fill="FFFFFF"/>
            <w:noWrap w:val="0"/>
            <w:vAlign w:val="center"/>
          </w:tcPr>
          <w:p w14:paraId="5E781F4E">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1.0</w:t>
            </w:r>
          </w:p>
        </w:tc>
        <w:tc>
          <w:tcPr>
            <w:tcW w:w="1470" w:type="dxa"/>
            <w:tcBorders>
              <w:top w:val="nil"/>
              <w:left w:val="nil"/>
              <w:bottom w:val="nil"/>
              <w:right w:val="nil"/>
            </w:tcBorders>
            <w:shd w:val="clear" w:color="auto" w:fill="FFFFFF"/>
            <w:noWrap w:val="0"/>
            <w:vAlign w:val="center"/>
          </w:tcPr>
          <w:p w14:paraId="25AD34AD">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4</w:t>
            </w:r>
          </w:p>
        </w:tc>
        <w:tc>
          <w:tcPr>
            <w:tcW w:w="1410" w:type="dxa"/>
            <w:tcBorders>
              <w:top w:val="nil"/>
              <w:left w:val="nil"/>
              <w:bottom w:val="nil"/>
              <w:right w:val="nil"/>
            </w:tcBorders>
            <w:shd w:val="clear" w:color="auto" w:fill="FFFFFF"/>
            <w:noWrap w:val="0"/>
            <w:vAlign w:val="center"/>
          </w:tcPr>
          <w:p w14:paraId="69C1B080">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20</w:t>
            </w:r>
          </w:p>
        </w:tc>
      </w:tr>
      <w:tr w14:paraId="3767DBA0">
        <w:tblPrEx>
          <w:shd w:val="clear" w:color="auto" w:fill="FFFFFF"/>
          <w:tblCellMar>
            <w:top w:w="0" w:type="dxa"/>
            <w:left w:w="0" w:type="dxa"/>
            <w:bottom w:w="0" w:type="dxa"/>
            <w:right w:w="0" w:type="dxa"/>
          </w:tblCellMar>
        </w:tblPrEx>
        <w:trPr>
          <w:trHeight w:val="0" w:hRule="atLeast"/>
          <w:jc w:val="center"/>
        </w:trPr>
        <w:tc>
          <w:tcPr>
            <w:tcW w:w="752" w:type="dxa"/>
            <w:vMerge w:val="restart"/>
            <w:tcBorders>
              <w:top w:val="nil"/>
              <w:left w:val="nil"/>
              <w:bottom w:val="nil"/>
              <w:right w:val="nil"/>
            </w:tcBorders>
            <w:shd w:val="clear" w:color="auto" w:fill="FFFFFF"/>
            <w:noWrap w:val="0"/>
            <w:vAlign w:val="center"/>
          </w:tcPr>
          <w:p w14:paraId="794951D8">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C3</w:t>
            </w:r>
          </w:p>
        </w:tc>
        <w:tc>
          <w:tcPr>
            <w:tcW w:w="1150" w:type="dxa"/>
            <w:tcBorders>
              <w:top w:val="nil"/>
              <w:left w:val="nil"/>
              <w:bottom w:val="nil"/>
              <w:right w:val="nil"/>
            </w:tcBorders>
            <w:shd w:val="clear" w:color="auto" w:fill="FFFFFF"/>
            <w:noWrap w:val="0"/>
            <w:vAlign w:val="center"/>
          </w:tcPr>
          <w:p w14:paraId="6A9A1E55">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0.0</w:t>
            </w:r>
          </w:p>
        </w:tc>
        <w:tc>
          <w:tcPr>
            <w:tcW w:w="1470" w:type="dxa"/>
            <w:tcBorders>
              <w:top w:val="nil"/>
              <w:left w:val="nil"/>
              <w:bottom w:val="nil"/>
              <w:right w:val="nil"/>
            </w:tcBorders>
            <w:shd w:val="clear" w:color="auto" w:fill="FFFFFF"/>
            <w:noWrap w:val="0"/>
            <w:vAlign w:val="center"/>
          </w:tcPr>
          <w:p w14:paraId="288C8325">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17</w:t>
            </w:r>
          </w:p>
        </w:tc>
        <w:tc>
          <w:tcPr>
            <w:tcW w:w="1410" w:type="dxa"/>
            <w:tcBorders>
              <w:top w:val="nil"/>
              <w:left w:val="nil"/>
              <w:bottom w:val="nil"/>
              <w:right w:val="nil"/>
            </w:tcBorders>
            <w:shd w:val="clear" w:color="auto" w:fill="FFFFFF"/>
            <w:noWrap w:val="0"/>
            <w:vAlign w:val="center"/>
          </w:tcPr>
          <w:p w14:paraId="538886F5">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85</w:t>
            </w:r>
          </w:p>
        </w:tc>
      </w:tr>
      <w:tr w14:paraId="5F243327">
        <w:tblPrEx>
          <w:tblCellMar>
            <w:top w:w="0" w:type="dxa"/>
            <w:left w:w="0" w:type="dxa"/>
            <w:bottom w:w="0" w:type="dxa"/>
            <w:right w:w="0" w:type="dxa"/>
          </w:tblCellMar>
        </w:tblPrEx>
        <w:trPr>
          <w:trHeight w:val="0" w:hRule="atLeast"/>
          <w:jc w:val="center"/>
        </w:trPr>
        <w:tc>
          <w:tcPr>
            <w:tcW w:w="752" w:type="dxa"/>
            <w:vMerge w:val="continue"/>
            <w:tcBorders>
              <w:top w:val="nil"/>
              <w:left w:val="nil"/>
              <w:bottom w:val="nil"/>
              <w:right w:val="nil"/>
            </w:tcBorders>
            <w:shd w:val="clear" w:color="auto" w:fill="FFFFFF"/>
            <w:noWrap w:val="0"/>
            <w:vAlign w:val="center"/>
          </w:tcPr>
          <w:p w14:paraId="44B8799B">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p>
        </w:tc>
        <w:tc>
          <w:tcPr>
            <w:tcW w:w="1150" w:type="dxa"/>
            <w:tcBorders>
              <w:top w:val="nil"/>
              <w:left w:val="nil"/>
              <w:bottom w:val="nil"/>
              <w:right w:val="nil"/>
            </w:tcBorders>
            <w:shd w:val="clear" w:color="auto" w:fill="FFFFFF"/>
            <w:noWrap w:val="0"/>
            <w:vAlign w:val="center"/>
          </w:tcPr>
          <w:p w14:paraId="6F6A060C">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1.0</w:t>
            </w:r>
          </w:p>
        </w:tc>
        <w:tc>
          <w:tcPr>
            <w:tcW w:w="1470" w:type="dxa"/>
            <w:tcBorders>
              <w:top w:val="nil"/>
              <w:left w:val="nil"/>
              <w:bottom w:val="nil"/>
              <w:right w:val="nil"/>
            </w:tcBorders>
            <w:shd w:val="clear" w:color="auto" w:fill="FFFFFF"/>
            <w:noWrap w:val="0"/>
            <w:vAlign w:val="center"/>
          </w:tcPr>
          <w:p w14:paraId="377CA46B">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3</w:t>
            </w:r>
          </w:p>
        </w:tc>
        <w:tc>
          <w:tcPr>
            <w:tcW w:w="1410" w:type="dxa"/>
            <w:tcBorders>
              <w:top w:val="nil"/>
              <w:left w:val="nil"/>
              <w:bottom w:val="nil"/>
              <w:right w:val="nil"/>
            </w:tcBorders>
            <w:shd w:val="clear" w:color="auto" w:fill="FFFFFF"/>
            <w:noWrap w:val="0"/>
            <w:vAlign w:val="center"/>
          </w:tcPr>
          <w:p w14:paraId="6E0AE7A3">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15</w:t>
            </w:r>
          </w:p>
        </w:tc>
      </w:tr>
      <w:tr w14:paraId="17FA36DB">
        <w:tblPrEx>
          <w:tblCellMar>
            <w:top w:w="0" w:type="dxa"/>
            <w:left w:w="0" w:type="dxa"/>
            <w:bottom w:w="0" w:type="dxa"/>
            <w:right w:w="0" w:type="dxa"/>
          </w:tblCellMar>
        </w:tblPrEx>
        <w:trPr>
          <w:trHeight w:val="0" w:hRule="atLeast"/>
          <w:jc w:val="center"/>
        </w:trPr>
        <w:tc>
          <w:tcPr>
            <w:tcW w:w="752" w:type="dxa"/>
            <w:vMerge w:val="restart"/>
            <w:tcBorders>
              <w:top w:val="nil"/>
              <w:left w:val="nil"/>
              <w:bottom w:val="nil"/>
              <w:right w:val="nil"/>
            </w:tcBorders>
            <w:shd w:val="clear" w:color="auto" w:fill="FFFFFF"/>
            <w:noWrap w:val="0"/>
            <w:vAlign w:val="center"/>
          </w:tcPr>
          <w:p w14:paraId="1E634881">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C4</w:t>
            </w:r>
          </w:p>
        </w:tc>
        <w:tc>
          <w:tcPr>
            <w:tcW w:w="1150" w:type="dxa"/>
            <w:tcBorders>
              <w:top w:val="nil"/>
              <w:left w:val="nil"/>
              <w:bottom w:val="nil"/>
              <w:right w:val="nil"/>
            </w:tcBorders>
            <w:shd w:val="clear" w:color="auto" w:fill="FFFFFF"/>
            <w:noWrap w:val="0"/>
            <w:vAlign w:val="center"/>
          </w:tcPr>
          <w:p w14:paraId="7AC6D127">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0.0</w:t>
            </w:r>
          </w:p>
        </w:tc>
        <w:tc>
          <w:tcPr>
            <w:tcW w:w="1470" w:type="dxa"/>
            <w:tcBorders>
              <w:top w:val="nil"/>
              <w:left w:val="nil"/>
              <w:bottom w:val="nil"/>
              <w:right w:val="nil"/>
            </w:tcBorders>
            <w:shd w:val="clear" w:color="auto" w:fill="FFFFFF"/>
            <w:noWrap w:val="0"/>
            <w:vAlign w:val="center"/>
          </w:tcPr>
          <w:p w14:paraId="28BA8F5A">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16</w:t>
            </w:r>
          </w:p>
        </w:tc>
        <w:tc>
          <w:tcPr>
            <w:tcW w:w="1410" w:type="dxa"/>
            <w:tcBorders>
              <w:top w:val="nil"/>
              <w:left w:val="nil"/>
              <w:bottom w:val="nil"/>
              <w:right w:val="nil"/>
            </w:tcBorders>
            <w:shd w:val="clear" w:color="auto" w:fill="FFFFFF"/>
            <w:noWrap w:val="0"/>
            <w:vAlign w:val="center"/>
          </w:tcPr>
          <w:p w14:paraId="3115F685">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80</w:t>
            </w:r>
          </w:p>
        </w:tc>
      </w:tr>
      <w:tr w14:paraId="64BCE673">
        <w:tblPrEx>
          <w:shd w:val="clear" w:color="auto" w:fill="FFFFFF"/>
          <w:tblCellMar>
            <w:top w:w="0" w:type="dxa"/>
            <w:left w:w="0" w:type="dxa"/>
            <w:bottom w:w="0" w:type="dxa"/>
            <w:right w:w="0" w:type="dxa"/>
          </w:tblCellMar>
        </w:tblPrEx>
        <w:trPr>
          <w:trHeight w:val="0" w:hRule="atLeast"/>
          <w:jc w:val="center"/>
        </w:trPr>
        <w:tc>
          <w:tcPr>
            <w:tcW w:w="752" w:type="dxa"/>
            <w:vMerge w:val="continue"/>
            <w:tcBorders>
              <w:top w:val="nil"/>
              <w:left w:val="nil"/>
              <w:bottom w:val="nil"/>
              <w:right w:val="nil"/>
            </w:tcBorders>
            <w:shd w:val="clear" w:color="auto" w:fill="FFFFFF"/>
            <w:noWrap w:val="0"/>
            <w:vAlign w:val="center"/>
          </w:tcPr>
          <w:p w14:paraId="6D8D8179">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p>
        </w:tc>
        <w:tc>
          <w:tcPr>
            <w:tcW w:w="1150" w:type="dxa"/>
            <w:tcBorders>
              <w:top w:val="nil"/>
              <w:left w:val="nil"/>
              <w:bottom w:val="nil"/>
              <w:right w:val="nil"/>
            </w:tcBorders>
            <w:shd w:val="clear" w:color="auto" w:fill="FFFFFF"/>
            <w:noWrap w:val="0"/>
            <w:vAlign w:val="center"/>
          </w:tcPr>
          <w:p w14:paraId="3227FE0B">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1.0</w:t>
            </w:r>
          </w:p>
        </w:tc>
        <w:tc>
          <w:tcPr>
            <w:tcW w:w="1470" w:type="dxa"/>
            <w:tcBorders>
              <w:top w:val="nil"/>
              <w:left w:val="nil"/>
              <w:bottom w:val="nil"/>
              <w:right w:val="nil"/>
            </w:tcBorders>
            <w:shd w:val="clear" w:color="auto" w:fill="FFFFFF"/>
            <w:noWrap w:val="0"/>
            <w:vAlign w:val="center"/>
          </w:tcPr>
          <w:p w14:paraId="488EA400">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4</w:t>
            </w:r>
          </w:p>
        </w:tc>
        <w:tc>
          <w:tcPr>
            <w:tcW w:w="1410" w:type="dxa"/>
            <w:tcBorders>
              <w:top w:val="nil"/>
              <w:left w:val="nil"/>
              <w:bottom w:val="nil"/>
              <w:right w:val="nil"/>
            </w:tcBorders>
            <w:shd w:val="clear" w:color="auto" w:fill="FFFFFF"/>
            <w:noWrap w:val="0"/>
            <w:vAlign w:val="center"/>
          </w:tcPr>
          <w:p w14:paraId="5ABEE8B3">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20</w:t>
            </w:r>
          </w:p>
        </w:tc>
      </w:tr>
      <w:tr w14:paraId="364B8364">
        <w:tblPrEx>
          <w:shd w:val="clear" w:color="auto" w:fill="FFFFFF"/>
          <w:tblCellMar>
            <w:top w:w="0" w:type="dxa"/>
            <w:left w:w="0" w:type="dxa"/>
            <w:bottom w:w="0" w:type="dxa"/>
            <w:right w:w="0" w:type="dxa"/>
          </w:tblCellMar>
        </w:tblPrEx>
        <w:trPr>
          <w:trHeight w:val="0" w:hRule="atLeast"/>
          <w:jc w:val="center"/>
        </w:trPr>
        <w:tc>
          <w:tcPr>
            <w:tcW w:w="752" w:type="dxa"/>
            <w:vMerge w:val="restart"/>
            <w:tcBorders>
              <w:top w:val="nil"/>
              <w:left w:val="nil"/>
              <w:bottom w:val="nil"/>
              <w:right w:val="nil"/>
            </w:tcBorders>
            <w:shd w:val="clear" w:color="auto" w:fill="FFFFFF"/>
            <w:noWrap w:val="0"/>
            <w:vAlign w:val="center"/>
          </w:tcPr>
          <w:p w14:paraId="10257703">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C5</w:t>
            </w:r>
          </w:p>
        </w:tc>
        <w:tc>
          <w:tcPr>
            <w:tcW w:w="1150" w:type="dxa"/>
            <w:tcBorders>
              <w:top w:val="nil"/>
              <w:left w:val="nil"/>
              <w:bottom w:val="nil"/>
              <w:right w:val="nil"/>
            </w:tcBorders>
            <w:shd w:val="clear" w:color="auto" w:fill="FFFFFF"/>
            <w:noWrap w:val="0"/>
            <w:vAlign w:val="center"/>
          </w:tcPr>
          <w:p w14:paraId="2875DABB">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0.0</w:t>
            </w:r>
          </w:p>
        </w:tc>
        <w:tc>
          <w:tcPr>
            <w:tcW w:w="1470" w:type="dxa"/>
            <w:tcBorders>
              <w:top w:val="nil"/>
              <w:left w:val="nil"/>
              <w:bottom w:val="nil"/>
              <w:right w:val="nil"/>
            </w:tcBorders>
            <w:shd w:val="clear" w:color="auto" w:fill="FFFFFF"/>
            <w:noWrap w:val="0"/>
            <w:vAlign w:val="center"/>
          </w:tcPr>
          <w:p w14:paraId="1B8DAA01">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16</w:t>
            </w:r>
          </w:p>
        </w:tc>
        <w:tc>
          <w:tcPr>
            <w:tcW w:w="1410" w:type="dxa"/>
            <w:tcBorders>
              <w:top w:val="nil"/>
              <w:left w:val="nil"/>
              <w:bottom w:val="nil"/>
              <w:right w:val="nil"/>
            </w:tcBorders>
            <w:shd w:val="clear" w:color="auto" w:fill="FFFFFF"/>
            <w:noWrap w:val="0"/>
            <w:vAlign w:val="center"/>
          </w:tcPr>
          <w:p w14:paraId="3CC24007">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80</w:t>
            </w:r>
          </w:p>
        </w:tc>
      </w:tr>
      <w:tr w14:paraId="410E6D15">
        <w:tblPrEx>
          <w:tblCellMar>
            <w:top w:w="0" w:type="dxa"/>
            <w:left w:w="0" w:type="dxa"/>
            <w:bottom w:w="0" w:type="dxa"/>
            <w:right w:w="0" w:type="dxa"/>
          </w:tblCellMar>
        </w:tblPrEx>
        <w:trPr>
          <w:trHeight w:val="0" w:hRule="atLeast"/>
          <w:jc w:val="center"/>
        </w:trPr>
        <w:tc>
          <w:tcPr>
            <w:tcW w:w="752" w:type="dxa"/>
            <w:vMerge w:val="continue"/>
            <w:tcBorders>
              <w:top w:val="nil"/>
              <w:left w:val="nil"/>
              <w:bottom w:val="nil"/>
              <w:right w:val="nil"/>
            </w:tcBorders>
            <w:shd w:val="clear" w:color="auto" w:fill="FFFFFF"/>
            <w:noWrap w:val="0"/>
            <w:vAlign w:val="center"/>
          </w:tcPr>
          <w:p w14:paraId="2ADCA22C">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p>
        </w:tc>
        <w:tc>
          <w:tcPr>
            <w:tcW w:w="1150" w:type="dxa"/>
            <w:tcBorders>
              <w:top w:val="nil"/>
              <w:left w:val="nil"/>
              <w:bottom w:val="nil"/>
              <w:right w:val="nil"/>
            </w:tcBorders>
            <w:shd w:val="clear" w:color="auto" w:fill="FFFFFF"/>
            <w:noWrap w:val="0"/>
            <w:vAlign w:val="center"/>
          </w:tcPr>
          <w:p w14:paraId="1A0331B2">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1.0</w:t>
            </w:r>
          </w:p>
        </w:tc>
        <w:tc>
          <w:tcPr>
            <w:tcW w:w="1470" w:type="dxa"/>
            <w:tcBorders>
              <w:top w:val="nil"/>
              <w:left w:val="nil"/>
              <w:bottom w:val="nil"/>
              <w:right w:val="nil"/>
            </w:tcBorders>
            <w:shd w:val="clear" w:color="auto" w:fill="FFFFFF"/>
            <w:noWrap w:val="0"/>
            <w:vAlign w:val="center"/>
          </w:tcPr>
          <w:p w14:paraId="1BA21F96">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4</w:t>
            </w:r>
          </w:p>
        </w:tc>
        <w:tc>
          <w:tcPr>
            <w:tcW w:w="1410" w:type="dxa"/>
            <w:tcBorders>
              <w:top w:val="nil"/>
              <w:left w:val="nil"/>
              <w:bottom w:val="nil"/>
              <w:right w:val="nil"/>
            </w:tcBorders>
            <w:shd w:val="clear" w:color="auto" w:fill="FFFFFF"/>
            <w:noWrap w:val="0"/>
            <w:vAlign w:val="center"/>
          </w:tcPr>
          <w:p w14:paraId="04408369">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20</w:t>
            </w:r>
          </w:p>
        </w:tc>
      </w:tr>
      <w:tr w14:paraId="599A10D5">
        <w:tblPrEx>
          <w:shd w:val="clear" w:color="auto" w:fill="FFFFFF"/>
          <w:tblCellMar>
            <w:top w:w="0" w:type="dxa"/>
            <w:left w:w="0" w:type="dxa"/>
            <w:bottom w:w="0" w:type="dxa"/>
            <w:right w:w="0" w:type="dxa"/>
          </w:tblCellMar>
        </w:tblPrEx>
        <w:trPr>
          <w:trHeight w:val="0" w:hRule="atLeast"/>
          <w:jc w:val="center"/>
        </w:trPr>
        <w:tc>
          <w:tcPr>
            <w:tcW w:w="752" w:type="dxa"/>
            <w:vMerge w:val="restart"/>
            <w:tcBorders>
              <w:top w:val="nil"/>
              <w:left w:val="nil"/>
              <w:bottom w:val="nil"/>
              <w:right w:val="nil"/>
            </w:tcBorders>
            <w:shd w:val="clear" w:color="auto" w:fill="FFFFFF"/>
            <w:noWrap w:val="0"/>
            <w:vAlign w:val="center"/>
          </w:tcPr>
          <w:p w14:paraId="7E3C0AEC">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C6</w:t>
            </w:r>
          </w:p>
        </w:tc>
        <w:tc>
          <w:tcPr>
            <w:tcW w:w="1150" w:type="dxa"/>
            <w:tcBorders>
              <w:top w:val="nil"/>
              <w:left w:val="nil"/>
              <w:bottom w:val="nil"/>
              <w:right w:val="nil"/>
            </w:tcBorders>
            <w:shd w:val="clear" w:color="auto" w:fill="FFFFFF"/>
            <w:noWrap w:val="0"/>
            <w:vAlign w:val="center"/>
          </w:tcPr>
          <w:p w14:paraId="56C8D041">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0.0</w:t>
            </w:r>
          </w:p>
        </w:tc>
        <w:tc>
          <w:tcPr>
            <w:tcW w:w="1470" w:type="dxa"/>
            <w:tcBorders>
              <w:top w:val="nil"/>
              <w:left w:val="nil"/>
              <w:bottom w:val="nil"/>
              <w:right w:val="nil"/>
            </w:tcBorders>
            <w:shd w:val="clear" w:color="auto" w:fill="FFFFFF"/>
            <w:noWrap w:val="0"/>
            <w:vAlign w:val="center"/>
          </w:tcPr>
          <w:p w14:paraId="44FEE09A">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14</w:t>
            </w:r>
          </w:p>
        </w:tc>
        <w:tc>
          <w:tcPr>
            <w:tcW w:w="1410" w:type="dxa"/>
            <w:tcBorders>
              <w:top w:val="nil"/>
              <w:left w:val="nil"/>
              <w:bottom w:val="nil"/>
              <w:right w:val="nil"/>
            </w:tcBorders>
            <w:shd w:val="clear" w:color="auto" w:fill="FFFFFF"/>
            <w:noWrap w:val="0"/>
            <w:vAlign w:val="center"/>
          </w:tcPr>
          <w:p w14:paraId="2735F613">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70</w:t>
            </w:r>
          </w:p>
        </w:tc>
      </w:tr>
      <w:tr w14:paraId="235D2DE7">
        <w:tblPrEx>
          <w:shd w:val="clear" w:color="auto" w:fill="FFFFFF"/>
          <w:tblCellMar>
            <w:top w:w="0" w:type="dxa"/>
            <w:left w:w="0" w:type="dxa"/>
            <w:bottom w:w="0" w:type="dxa"/>
            <w:right w:w="0" w:type="dxa"/>
          </w:tblCellMar>
        </w:tblPrEx>
        <w:trPr>
          <w:trHeight w:val="0" w:hRule="atLeast"/>
          <w:jc w:val="center"/>
        </w:trPr>
        <w:tc>
          <w:tcPr>
            <w:tcW w:w="752" w:type="dxa"/>
            <w:vMerge w:val="continue"/>
            <w:tcBorders>
              <w:top w:val="nil"/>
              <w:left w:val="nil"/>
              <w:bottom w:val="nil"/>
              <w:right w:val="nil"/>
            </w:tcBorders>
            <w:shd w:val="clear" w:color="auto" w:fill="FFFFFF"/>
            <w:noWrap w:val="0"/>
            <w:vAlign w:val="center"/>
          </w:tcPr>
          <w:p w14:paraId="52B9B708">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p>
        </w:tc>
        <w:tc>
          <w:tcPr>
            <w:tcW w:w="1150" w:type="dxa"/>
            <w:tcBorders>
              <w:top w:val="nil"/>
              <w:left w:val="nil"/>
              <w:bottom w:val="nil"/>
              <w:right w:val="nil"/>
            </w:tcBorders>
            <w:shd w:val="clear" w:color="auto" w:fill="FFFFFF"/>
            <w:noWrap w:val="0"/>
            <w:vAlign w:val="center"/>
          </w:tcPr>
          <w:p w14:paraId="59265FAE">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1.0</w:t>
            </w:r>
          </w:p>
        </w:tc>
        <w:tc>
          <w:tcPr>
            <w:tcW w:w="1470" w:type="dxa"/>
            <w:tcBorders>
              <w:top w:val="nil"/>
              <w:left w:val="nil"/>
              <w:bottom w:val="nil"/>
              <w:right w:val="nil"/>
            </w:tcBorders>
            <w:shd w:val="clear" w:color="auto" w:fill="FFFFFF"/>
            <w:noWrap w:val="0"/>
            <w:vAlign w:val="center"/>
          </w:tcPr>
          <w:p w14:paraId="7C688DF7">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6</w:t>
            </w:r>
          </w:p>
        </w:tc>
        <w:tc>
          <w:tcPr>
            <w:tcW w:w="1410" w:type="dxa"/>
            <w:tcBorders>
              <w:top w:val="nil"/>
              <w:left w:val="nil"/>
              <w:bottom w:val="nil"/>
              <w:right w:val="nil"/>
            </w:tcBorders>
            <w:shd w:val="clear" w:color="auto" w:fill="FFFFFF"/>
            <w:noWrap w:val="0"/>
            <w:vAlign w:val="center"/>
          </w:tcPr>
          <w:p w14:paraId="10015666">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30</w:t>
            </w:r>
          </w:p>
        </w:tc>
      </w:tr>
      <w:tr w14:paraId="6DABC352">
        <w:tblPrEx>
          <w:tblCellMar>
            <w:top w:w="0" w:type="dxa"/>
            <w:left w:w="0" w:type="dxa"/>
            <w:bottom w:w="0" w:type="dxa"/>
            <w:right w:w="0" w:type="dxa"/>
          </w:tblCellMar>
        </w:tblPrEx>
        <w:trPr>
          <w:trHeight w:val="0" w:hRule="atLeast"/>
          <w:jc w:val="center"/>
        </w:trPr>
        <w:tc>
          <w:tcPr>
            <w:tcW w:w="752" w:type="dxa"/>
            <w:vMerge w:val="restart"/>
            <w:tcBorders>
              <w:top w:val="nil"/>
              <w:left w:val="nil"/>
              <w:bottom w:val="nil"/>
              <w:right w:val="nil"/>
            </w:tcBorders>
            <w:shd w:val="clear" w:color="auto" w:fill="FFFFFF"/>
            <w:noWrap w:val="0"/>
            <w:vAlign w:val="center"/>
          </w:tcPr>
          <w:p w14:paraId="392E400B">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C7</w:t>
            </w:r>
          </w:p>
        </w:tc>
        <w:tc>
          <w:tcPr>
            <w:tcW w:w="1150" w:type="dxa"/>
            <w:tcBorders>
              <w:top w:val="nil"/>
              <w:left w:val="nil"/>
              <w:bottom w:val="nil"/>
              <w:right w:val="nil"/>
            </w:tcBorders>
            <w:shd w:val="clear" w:color="auto" w:fill="FFFFFF"/>
            <w:noWrap w:val="0"/>
            <w:vAlign w:val="center"/>
          </w:tcPr>
          <w:p w14:paraId="5149C8F1">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0.0</w:t>
            </w:r>
          </w:p>
        </w:tc>
        <w:tc>
          <w:tcPr>
            <w:tcW w:w="1470" w:type="dxa"/>
            <w:tcBorders>
              <w:top w:val="nil"/>
              <w:left w:val="nil"/>
              <w:bottom w:val="nil"/>
              <w:right w:val="nil"/>
            </w:tcBorders>
            <w:shd w:val="clear" w:color="auto" w:fill="FFFFFF"/>
            <w:noWrap w:val="0"/>
            <w:vAlign w:val="center"/>
          </w:tcPr>
          <w:p w14:paraId="642FE3A3">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15</w:t>
            </w:r>
          </w:p>
        </w:tc>
        <w:tc>
          <w:tcPr>
            <w:tcW w:w="1410" w:type="dxa"/>
            <w:tcBorders>
              <w:top w:val="nil"/>
              <w:left w:val="nil"/>
              <w:bottom w:val="nil"/>
              <w:right w:val="nil"/>
            </w:tcBorders>
            <w:shd w:val="clear" w:color="auto" w:fill="FFFFFF"/>
            <w:noWrap w:val="0"/>
            <w:vAlign w:val="center"/>
          </w:tcPr>
          <w:p w14:paraId="45416813">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75</w:t>
            </w:r>
          </w:p>
        </w:tc>
      </w:tr>
      <w:tr w14:paraId="28D59C59">
        <w:tblPrEx>
          <w:shd w:val="clear" w:color="auto" w:fill="FFFFFF"/>
          <w:tblCellMar>
            <w:top w:w="0" w:type="dxa"/>
            <w:left w:w="0" w:type="dxa"/>
            <w:bottom w:w="0" w:type="dxa"/>
            <w:right w:w="0" w:type="dxa"/>
          </w:tblCellMar>
        </w:tblPrEx>
        <w:trPr>
          <w:trHeight w:val="0" w:hRule="atLeast"/>
          <w:jc w:val="center"/>
        </w:trPr>
        <w:tc>
          <w:tcPr>
            <w:tcW w:w="752" w:type="dxa"/>
            <w:vMerge w:val="continue"/>
            <w:tcBorders>
              <w:top w:val="nil"/>
              <w:left w:val="nil"/>
              <w:bottom w:val="nil"/>
              <w:right w:val="nil"/>
            </w:tcBorders>
            <w:shd w:val="clear" w:color="auto" w:fill="FFFFFF"/>
            <w:noWrap w:val="0"/>
            <w:vAlign w:val="center"/>
          </w:tcPr>
          <w:p w14:paraId="2E796C02">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p>
        </w:tc>
        <w:tc>
          <w:tcPr>
            <w:tcW w:w="1150" w:type="dxa"/>
            <w:tcBorders>
              <w:top w:val="nil"/>
              <w:left w:val="nil"/>
              <w:bottom w:val="nil"/>
              <w:right w:val="nil"/>
            </w:tcBorders>
            <w:shd w:val="clear" w:color="auto" w:fill="FFFFFF"/>
            <w:noWrap w:val="0"/>
            <w:vAlign w:val="center"/>
          </w:tcPr>
          <w:p w14:paraId="25D0D259">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1.0</w:t>
            </w:r>
          </w:p>
        </w:tc>
        <w:tc>
          <w:tcPr>
            <w:tcW w:w="1470" w:type="dxa"/>
            <w:tcBorders>
              <w:top w:val="nil"/>
              <w:left w:val="nil"/>
              <w:bottom w:val="nil"/>
              <w:right w:val="nil"/>
            </w:tcBorders>
            <w:shd w:val="clear" w:color="auto" w:fill="FFFFFF"/>
            <w:noWrap w:val="0"/>
            <w:vAlign w:val="center"/>
          </w:tcPr>
          <w:p w14:paraId="7AC41F68">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5</w:t>
            </w:r>
          </w:p>
        </w:tc>
        <w:tc>
          <w:tcPr>
            <w:tcW w:w="1410" w:type="dxa"/>
            <w:tcBorders>
              <w:top w:val="nil"/>
              <w:left w:val="nil"/>
              <w:bottom w:val="nil"/>
              <w:right w:val="nil"/>
            </w:tcBorders>
            <w:shd w:val="clear" w:color="auto" w:fill="FFFFFF"/>
            <w:noWrap w:val="0"/>
            <w:vAlign w:val="center"/>
          </w:tcPr>
          <w:p w14:paraId="1048219E">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25</w:t>
            </w:r>
          </w:p>
        </w:tc>
      </w:tr>
      <w:tr w14:paraId="55738D71">
        <w:tblPrEx>
          <w:shd w:val="clear" w:color="auto" w:fill="FFFFFF"/>
          <w:tblCellMar>
            <w:top w:w="0" w:type="dxa"/>
            <w:left w:w="0" w:type="dxa"/>
            <w:bottom w:w="0" w:type="dxa"/>
            <w:right w:w="0" w:type="dxa"/>
          </w:tblCellMar>
        </w:tblPrEx>
        <w:trPr>
          <w:trHeight w:val="0" w:hRule="atLeast"/>
          <w:jc w:val="center"/>
        </w:trPr>
        <w:tc>
          <w:tcPr>
            <w:tcW w:w="752" w:type="dxa"/>
            <w:vMerge w:val="restart"/>
            <w:tcBorders>
              <w:top w:val="nil"/>
              <w:left w:val="nil"/>
              <w:bottom w:val="nil"/>
              <w:right w:val="nil"/>
            </w:tcBorders>
            <w:shd w:val="clear" w:color="auto" w:fill="FFFFFF"/>
            <w:noWrap w:val="0"/>
            <w:vAlign w:val="center"/>
          </w:tcPr>
          <w:p w14:paraId="3DD9636D">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C8</w:t>
            </w:r>
          </w:p>
        </w:tc>
        <w:tc>
          <w:tcPr>
            <w:tcW w:w="1150" w:type="dxa"/>
            <w:tcBorders>
              <w:top w:val="nil"/>
              <w:left w:val="nil"/>
              <w:bottom w:val="nil"/>
              <w:right w:val="nil"/>
            </w:tcBorders>
            <w:shd w:val="clear" w:color="auto" w:fill="FFFFFF"/>
            <w:noWrap w:val="0"/>
            <w:vAlign w:val="center"/>
          </w:tcPr>
          <w:p w14:paraId="2FA43374">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0.0</w:t>
            </w:r>
          </w:p>
        </w:tc>
        <w:tc>
          <w:tcPr>
            <w:tcW w:w="1470" w:type="dxa"/>
            <w:tcBorders>
              <w:top w:val="nil"/>
              <w:left w:val="nil"/>
              <w:bottom w:val="nil"/>
              <w:right w:val="nil"/>
            </w:tcBorders>
            <w:shd w:val="clear" w:color="auto" w:fill="FFFFFF"/>
            <w:noWrap w:val="0"/>
            <w:vAlign w:val="center"/>
          </w:tcPr>
          <w:p w14:paraId="32FC950B">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17</w:t>
            </w:r>
          </w:p>
        </w:tc>
        <w:tc>
          <w:tcPr>
            <w:tcW w:w="1410" w:type="dxa"/>
            <w:tcBorders>
              <w:top w:val="nil"/>
              <w:left w:val="nil"/>
              <w:bottom w:val="nil"/>
              <w:right w:val="nil"/>
            </w:tcBorders>
            <w:shd w:val="clear" w:color="auto" w:fill="FFFFFF"/>
            <w:noWrap w:val="0"/>
            <w:vAlign w:val="center"/>
          </w:tcPr>
          <w:p w14:paraId="7456DB59">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85</w:t>
            </w:r>
          </w:p>
        </w:tc>
      </w:tr>
      <w:tr w14:paraId="36376AD6">
        <w:tblPrEx>
          <w:shd w:val="clear" w:color="auto" w:fill="FFFFFF"/>
          <w:tblCellMar>
            <w:top w:w="0" w:type="dxa"/>
            <w:left w:w="0" w:type="dxa"/>
            <w:bottom w:w="0" w:type="dxa"/>
            <w:right w:w="0" w:type="dxa"/>
          </w:tblCellMar>
        </w:tblPrEx>
        <w:trPr>
          <w:trHeight w:val="0" w:hRule="atLeast"/>
          <w:jc w:val="center"/>
        </w:trPr>
        <w:tc>
          <w:tcPr>
            <w:tcW w:w="752" w:type="dxa"/>
            <w:vMerge w:val="continue"/>
            <w:tcBorders>
              <w:top w:val="nil"/>
              <w:left w:val="nil"/>
              <w:bottom w:val="nil"/>
              <w:right w:val="nil"/>
            </w:tcBorders>
            <w:shd w:val="clear" w:color="auto" w:fill="FFFFFF"/>
            <w:noWrap w:val="0"/>
            <w:vAlign w:val="center"/>
          </w:tcPr>
          <w:p w14:paraId="01BF24BB">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p>
        </w:tc>
        <w:tc>
          <w:tcPr>
            <w:tcW w:w="1150" w:type="dxa"/>
            <w:tcBorders>
              <w:top w:val="nil"/>
              <w:left w:val="nil"/>
              <w:bottom w:val="nil"/>
              <w:right w:val="nil"/>
            </w:tcBorders>
            <w:shd w:val="clear" w:color="auto" w:fill="FFFFFF"/>
            <w:noWrap w:val="0"/>
            <w:vAlign w:val="center"/>
          </w:tcPr>
          <w:p w14:paraId="5004D21E">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1.0</w:t>
            </w:r>
          </w:p>
        </w:tc>
        <w:tc>
          <w:tcPr>
            <w:tcW w:w="1470" w:type="dxa"/>
            <w:tcBorders>
              <w:top w:val="nil"/>
              <w:left w:val="nil"/>
              <w:bottom w:val="nil"/>
              <w:right w:val="nil"/>
            </w:tcBorders>
            <w:shd w:val="clear" w:color="auto" w:fill="FFFFFF"/>
            <w:noWrap w:val="0"/>
            <w:vAlign w:val="center"/>
          </w:tcPr>
          <w:p w14:paraId="14556550">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3</w:t>
            </w:r>
          </w:p>
        </w:tc>
        <w:tc>
          <w:tcPr>
            <w:tcW w:w="1410" w:type="dxa"/>
            <w:tcBorders>
              <w:top w:val="nil"/>
              <w:left w:val="nil"/>
              <w:bottom w:val="nil"/>
              <w:right w:val="nil"/>
            </w:tcBorders>
            <w:shd w:val="clear" w:color="auto" w:fill="FFFFFF"/>
            <w:noWrap w:val="0"/>
            <w:vAlign w:val="center"/>
          </w:tcPr>
          <w:p w14:paraId="42C877FE">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15</w:t>
            </w:r>
          </w:p>
        </w:tc>
      </w:tr>
      <w:tr w14:paraId="2817FF19">
        <w:tblPrEx>
          <w:shd w:val="clear" w:color="auto" w:fill="FFFFFF"/>
          <w:tblCellMar>
            <w:top w:w="0" w:type="dxa"/>
            <w:left w:w="0" w:type="dxa"/>
            <w:bottom w:w="0" w:type="dxa"/>
            <w:right w:w="0" w:type="dxa"/>
          </w:tblCellMar>
        </w:tblPrEx>
        <w:trPr>
          <w:trHeight w:val="0" w:hRule="atLeast"/>
          <w:jc w:val="center"/>
        </w:trPr>
        <w:tc>
          <w:tcPr>
            <w:tcW w:w="752" w:type="dxa"/>
            <w:vMerge w:val="restart"/>
            <w:tcBorders>
              <w:top w:val="nil"/>
              <w:left w:val="nil"/>
              <w:bottom w:val="nil"/>
              <w:right w:val="nil"/>
            </w:tcBorders>
            <w:shd w:val="clear" w:color="auto" w:fill="FFFFFF"/>
            <w:noWrap w:val="0"/>
            <w:vAlign w:val="center"/>
          </w:tcPr>
          <w:p w14:paraId="7CBFA74D">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C9</w:t>
            </w:r>
          </w:p>
        </w:tc>
        <w:tc>
          <w:tcPr>
            <w:tcW w:w="1150" w:type="dxa"/>
            <w:tcBorders>
              <w:top w:val="nil"/>
              <w:left w:val="nil"/>
              <w:bottom w:val="nil"/>
              <w:right w:val="nil"/>
            </w:tcBorders>
            <w:shd w:val="clear" w:color="auto" w:fill="FFFFFF"/>
            <w:noWrap w:val="0"/>
            <w:vAlign w:val="center"/>
          </w:tcPr>
          <w:p w14:paraId="7C2D6749">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0.0</w:t>
            </w:r>
          </w:p>
        </w:tc>
        <w:tc>
          <w:tcPr>
            <w:tcW w:w="1470" w:type="dxa"/>
            <w:tcBorders>
              <w:top w:val="nil"/>
              <w:left w:val="nil"/>
              <w:bottom w:val="nil"/>
              <w:right w:val="nil"/>
            </w:tcBorders>
            <w:shd w:val="clear" w:color="auto" w:fill="FFFFFF"/>
            <w:noWrap w:val="0"/>
            <w:vAlign w:val="center"/>
          </w:tcPr>
          <w:p w14:paraId="6DE95DF1">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14</w:t>
            </w:r>
          </w:p>
        </w:tc>
        <w:tc>
          <w:tcPr>
            <w:tcW w:w="1410" w:type="dxa"/>
            <w:tcBorders>
              <w:top w:val="nil"/>
              <w:left w:val="nil"/>
              <w:bottom w:val="nil"/>
              <w:right w:val="nil"/>
            </w:tcBorders>
            <w:shd w:val="clear" w:color="auto" w:fill="FFFFFF"/>
            <w:noWrap w:val="0"/>
            <w:vAlign w:val="center"/>
          </w:tcPr>
          <w:p w14:paraId="245BD1D3">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70</w:t>
            </w:r>
          </w:p>
        </w:tc>
      </w:tr>
      <w:tr w14:paraId="47DA5EAC">
        <w:tblPrEx>
          <w:shd w:val="clear" w:color="auto" w:fill="FFFFFF"/>
          <w:tblCellMar>
            <w:top w:w="0" w:type="dxa"/>
            <w:left w:w="0" w:type="dxa"/>
            <w:bottom w:w="0" w:type="dxa"/>
            <w:right w:w="0" w:type="dxa"/>
          </w:tblCellMar>
        </w:tblPrEx>
        <w:trPr>
          <w:trHeight w:val="0" w:hRule="atLeast"/>
          <w:jc w:val="center"/>
        </w:trPr>
        <w:tc>
          <w:tcPr>
            <w:tcW w:w="752" w:type="dxa"/>
            <w:vMerge w:val="continue"/>
            <w:tcBorders>
              <w:top w:val="nil"/>
              <w:left w:val="nil"/>
              <w:bottom w:val="nil"/>
              <w:right w:val="nil"/>
            </w:tcBorders>
            <w:shd w:val="clear" w:color="auto" w:fill="FFFFFF"/>
            <w:noWrap w:val="0"/>
            <w:vAlign w:val="center"/>
          </w:tcPr>
          <w:p w14:paraId="59DBF1EC">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p>
        </w:tc>
        <w:tc>
          <w:tcPr>
            <w:tcW w:w="1150" w:type="dxa"/>
            <w:tcBorders>
              <w:top w:val="nil"/>
              <w:left w:val="nil"/>
              <w:bottom w:val="nil"/>
              <w:right w:val="nil"/>
            </w:tcBorders>
            <w:shd w:val="clear" w:color="auto" w:fill="FFFFFF"/>
            <w:noWrap w:val="0"/>
            <w:vAlign w:val="center"/>
          </w:tcPr>
          <w:p w14:paraId="4AE32193">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1.0</w:t>
            </w:r>
          </w:p>
        </w:tc>
        <w:tc>
          <w:tcPr>
            <w:tcW w:w="1470" w:type="dxa"/>
            <w:tcBorders>
              <w:top w:val="nil"/>
              <w:left w:val="nil"/>
              <w:bottom w:val="nil"/>
              <w:right w:val="nil"/>
            </w:tcBorders>
            <w:shd w:val="clear" w:color="auto" w:fill="FFFFFF"/>
            <w:noWrap w:val="0"/>
            <w:vAlign w:val="center"/>
          </w:tcPr>
          <w:p w14:paraId="3AEB59AC">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6</w:t>
            </w:r>
          </w:p>
        </w:tc>
        <w:tc>
          <w:tcPr>
            <w:tcW w:w="1410" w:type="dxa"/>
            <w:tcBorders>
              <w:top w:val="nil"/>
              <w:left w:val="nil"/>
              <w:bottom w:val="nil"/>
              <w:right w:val="nil"/>
            </w:tcBorders>
            <w:shd w:val="clear" w:color="auto" w:fill="FFFFFF"/>
            <w:noWrap w:val="0"/>
            <w:vAlign w:val="center"/>
          </w:tcPr>
          <w:p w14:paraId="23432CA8">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30</w:t>
            </w:r>
          </w:p>
        </w:tc>
      </w:tr>
      <w:tr w14:paraId="46E32C5F">
        <w:tblPrEx>
          <w:shd w:val="clear" w:color="auto" w:fill="FFFFFF"/>
          <w:tblCellMar>
            <w:top w:w="0" w:type="dxa"/>
            <w:left w:w="0" w:type="dxa"/>
            <w:bottom w:w="0" w:type="dxa"/>
            <w:right w:w="0" w:type="dxa"/>
          </w:tblCellMar>
        </w:tblPrEx>
        <w:trPr>
          <w:trHeight w:val="0" w:hRule="atLeast"/>
          <w:jc w:val="center"/>
        </w:trPr>
        <w:tc>
          <w:tcPr>
            <w:tcW w:w="752" w:type="dxa"/>
            <w:vMerge w:val="restart"/>
            <w:tcBorders>
              <w:top w:val="nil"/>
              <w:left w:val="nil"/>
              <w:bottom w:val="nil"/>
              <w:right w:val="nil"/>
            </w:tcBorders>
            <w:shd w:val="clear" w:color="auto" w:fill="FFFFFF"/>
            <w:noWrap w:val="0"/>
            <w:vAlign w:val="center"/>
          </w:tcPr>
          <w:p w14:paraId="780AC7E0">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C10</w:t>
            </w:r>
          </w:p>
        </w:tc>
        <w:tc>
          <w:tcPr>
            <w:tcW w:w="1150" w:type="dxa"/>
            <w:tcBorders>
              <w:top w:val="nil"/>
              <w:left w:val="nil"/>
              <w:bottom w:val="nil"/>
              <w:right w:val="nil"/>
            </w:tcBorders>
            <w:shd w:val="clear" w:color="auto" w:fill="FFFFFF"/>
            <w:noWrap w:val="0"/>
            <w:vAlign w:val="center"/>
          </w:tcPr>
          <w:p w14:paraId="7616394D">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0.0</w:t>
            </w:r>
          </w:p>
        </w:tc>
        <w:tc>
          <w:tcPr>
            <w:tcW w:w="1470" w:type="dxa"/>
            <w:tcBorders>
              <w:top w:val="nil"/>
              <w:left w:val="nil"/>
              <w:bottom w:val="nil"/>
              <w:right w:val="nil"/>
            </w:tcBorders>
            <w:shd w:val="clear" w:color="auto" w:fill="FFFFFF"/>
            <w:noWrap w:val="0"/>
            <w:vAlign w:val="center"/>
          </w:tcPr>
          <w:p w14:paraId="49FBD180">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16</w:t>
            </w:r>
          </w:p>
        </w:tc>
        <w:tc>
          <w:tcPr>
            <w:tcW w:w="1410" w:type="dxa"/>
            <w:tcBorders>
              <w:top w:val="nil"/>
              <w:left w:val="nil"/>
              <w:bottom w:val="nil"/>
              <w:right w:val="nil"/>
            </w:tcBorders>
            <w:shd w:val="clear" w:color="auto" w:fill="FFFFFF"/>
            <w:noWrap w:val="0"/>
            <w:vAlign w:val="center"/>
          </w:tcPr>
          <w:p w14:paraId="6C4C853E">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80</w:t>
            </w:r>
          </w:p>
        </w:tc>
      </w:tr>
      <w:tr w14:paraId="1C9B9EF1">
        <w:tblPrEx>
          <w:shd w:val="clear" w:color="auto" w:fill="FFFFFF"/>
          <w:tblCellMar>
            <w:top w:w="0" w:type="dxa"/>
            <w:left w:w="0" w:type="dxa"/>
            <w:bottom w:w="0" w:type="dxa"/>
            <w:right w:w="0" w:type="dxa"/>
          </w:tblCellMar>
        </w:tblPrEx>
        <w:trPr>
          <w:trHeight w:val="0" w:hRule="atLeast"/>
          <w:jc w:val="center"/>
        </w:trPr>
        <w:tc>
          <w:tcPr>
            <w:tcW w:w="752" w:type="dxa"/>
            <w:vMerge w:val="continue"/>
            <w:tcBorders>
              <w:top w:val="nil"/>
              <w:left w:val="nil"/>
              <w:bottom w:val="nil"/>
              <w:right w:val="nil"/>
            </w:tcBorders>
            <w:shd w:val="clear" w:color="auto" w:fill="FFFFFF"/>
            <w:noWrap w:val="0"/>
            <w:vAlign w:val="center"/>
          </w:tcPr>
          <w:p w14:paraId="34C03F04">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p>
        </w:tc>
        <w:tc>
          <w:tcPr>
            <w:tcW w:w="1150" w:type="dxa"/>
            <w:tcBorders>
              <w:top w:val="nil"/>
              <w:left w:val="nil"/>
              <w:bottom w:val="nil"/>
              <w:right w:val="nil"/>
            </w:tcBorders>
            <w:shd w:val="clear" w:color="auto" w:fill="FFFFFF"/>
            <w:noWrap w:val="0"/>
            <w:vAlign w:val="center"/>
          </w:tcPr>
          <w:p w14:paraId="576F3481">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1.0</w:t>
            </w:r>
          </w:p>
        </w:tc>
        <w:tc>
          <w:tcPr>
            <w:tcW w:w="1470" w:type="dxa"/>
            <w:tcBorders>
              <w:top w:val="nil"/>
              <w:left w:val="nil"/>
              <w:bottom w:val="nil"/>
              <w:right w:val="nil"/>
            </w:tcBorders>
            <w:shd w:val="clear" w:color="auto" w:fill="FFFFFF"/>
            <w:noWrap w:val="0"/>
            <w:vAlign w:val="center"/>
          </w:tcPr>
          <w:p w14:paraId="4ED48752">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4</w:t>
            </w:r>
          </w:p>
        </w:tc>
        <w:tc>
          <w:tcPr>
            <w:tcW w:w="1410" w:type="dxa"/>
            <w:tcBorders>
              <w:top w:val="nil"/>
              <w:left w:val="nil"/>
              <w:bottom w:val="nil"/>
              <w:right w:val="nil"/>
            </w:tcBorders>
            <w:shd w:val="clear" w:color="auto" w:fill="FFFFFF"/>
            <w:noWrap w:val="0"/>
            <w:vAlign w:val="center"/>
          </w:tcPr>
          <w:p w14:paraId="3D2DD767">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20</w:t>
            </w:r>
          </w:p>
        </w:tc>
      </w:tr>
      <w:tr w14:paraId="0AB7BB53">
        <w:tblPrEx>
          <w:shd w:val="clear" w:color="auto" w:fill="FFFFFF"/>
          <w:tblCellMar>
            <w:top w:w="0" w:type="dxa"/>
            <w:left w:w="0" w:type="dxa"/>
            <w:bottom w:w="0" w:type="dxa"/>
            <w:right w:w="0" w:type="dxa"/>
          </w:tblCellMar>
        </w:tblPrEx>
        <w:trPr>
          <w:trHeight w:val="0" w:hRule="atLeast"/>
          <w:jc w:val="center"/>
        </w:trPr>
        <w:tc>
          <w:tcPr>
            <w:tcW w:w="1902" w:type="dxa"/>
            <w:gridSpan w:val="2"/>
            <w:tcBorders>
              <w:top w:val="nil"/>
              <w:left w:val="nil"/>
              <w:bottom w:val="single" w:color="auto" w:sz="18" w:space="0"/>
              <w:right w:val="nil"/>
            </w:tcBorders>
            <w:shd w:val="clear" w:color="auto" w:fill="FFFFFF"/>
            <w:noWrap w:val="0"/>
            <w:vAlign w:val="center"/>
          </w:tcPr>
          <w:p w14:paraId="07F10839">
            <w:pPr>
              <w:widowControl/>
              <w:kinsoku/>
              <w:autoSpaceDE/>
              <w:autoSpaceDN/>
              <w:adjustRightInd/>
              <w:snapToGrid w:val="0"/>
              <w:ind w:left="0" w:leftChars="0" w:right="0" w:rightChars="0" w:firstLine="0" w:firstLineChars="0"/>
              <w:jc w:val="left"/>
              <w:textAlignment w:val="center"/>
              <w:rPr>
                <w:rFonts w:ascii="Times New Roman" w:hAnsi="Times New Roman" w:eastAsia="宋体" w:cs="Times New Roman"/>
                <w:snapToGrid/>
                <w:color w:val="000000"/>
                <w:kern w:val="0"/>
                <w:sz w:val="18"/>
                <w:szCs w:val="18"/>
                <w:lang w:eastAsia="zh-CN" w:bidi="ar"/>
              </w:rPr>
            </w:pPr>
            <w:r>
              <w:rPr>
                <w:rFonts w:hint="default" w:ascii="Times New Roman" w:hAnsi="Times New Roman" w:eastAsia="宋体" w:cs="Times New Roman"/>
                <w:snapToGrid/>
                <w:color w:val="000000"/>
                <w:kern w:val="0"/>
                <w:sz w:val="18"/>
                <w:szCs w:val="18"/>
                <w:lang w:eastAsia="zh-CN" w:bidi="ar"/>
              </w:rPr>
              <w:t>Total</w:t>
            </w:r>
          </w:p>
        </w:tc>
        <w:tc>
          <w:tcPr>
            <w:tcW w:w="1470" w:type="dxa"/>
            <w:tcBorders>
              <w:top w:val="nil"/>
              <w:left w:val="nil"/>
              <w:bottom w:val="single" w:color="auto" w:sz="18" w:space="0"/>
              <w:right w:val="nil"/>
            </w:tcBorders>
            <w:shd w:val="clear" w:color="auto" w:fill="FFFFFF"/>
            <w:noWrap w:val="0"/>
            <w:vAlign w:val="center"/>
          </w:tcPr>
          <w:p w14:paraId="5D5375C3">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20</w:t>
            </w:r>
          </w:p>
        </w:tc>
        <w:tc>
          <w:tcPr>
            <w:tcW w:w="1410" w:type="dxa"/>
            <w:tcBorders>
              <w:top w:val="nil"/>
              <w:left w:val="nil"/>
              <w:bottom w:val="single" w:color="auto" w:sz="18" w:space="0"/>
              <w:right w:val="nil"/>
            </w:tcBorders>
            <w:shd w:val="clear" w:color="auto" w:fill="FFFFFF"/>
            <w:noWrap w:val="0"/>
            <w:vAlign w:val="center"/>
          </w:tcPr>
          <w:p w14:paraId="7CE0BA41">
            <w:pPr>
              <w:widowControl/>
              <w:kinsoku/>
              <w:autoSpaceDE/>
              <w:autoSpaceDN/>
              <w:adjustRightInd/>
              <w:snapToGrid w:val="0"/>
              <w:ind w:left="0" w:leftChars="0" w:right="0" w:rightChars="0" w:firstLine="0" w:firstLineChars="0"/>
              <w:jc w:val="center"/>
              <w:textAlignment w:val="center"/>
              <w:rPr>
                <w:rFonts w:ascii="Times New Roman" w:hAnsi="Times New Roman" w:eastAsia="宋体" w:cs="Times New Roman"/>
                <w:snapToGrid/>
                <w:color w:val="000000"/>
                <w:kern w:val="0"/>
                <w:sz w:val="18"/>
                <w:szCs w:val="18"/>
                <w:lang w:eastAsia="zh-CN" w:bidi="ar"/>
              </w:rPr>
            </w:pPr>
            <w:r>
              <w:rPr>
                <w:rFonts w:ascii="Times New Roman" w:hAnsi="Times New Roman" w:eastAsia="宋体" w:cs="Times New Roman"/>
                <w:snapToGrid/>
                <w:color w:val="000000"/>
                <w:kern w:val="0"/>
                <w:sz w:val="18"/>
                <w:szCs w:val="18"/>
                <w:lang w:eastAsia="zh-CN" w:bidi="ar"/>
              </w:rPr>
              <w:t>100</w:t>
            </w:r>
          </w:p>
        </w:tc>
      </w:tr>
    </w:tbl>
    <w:p w14:paraId="6C5BA219">
      <w:pPr>
        <w:pStyle w:val="6"/>
        <w:keepNext w:val="0"/>
        <w:keepLines w:val="0"/>
        <w:pageBreakBefore w:val="0"/>
        <w:widowControl/>
        <w:kinsoku w:val="0"/>
        <w:wordWrap/>
        <w:overflowPunct/>
        <w:topLinePunct w:val="0"/>
        <w:autoSpaceDE w:val="0"/>
        <w:autoSpaceDN w:val="0"/>
        <w:bidi w:val="0"/>
        <w:adjustRightInd w:val="0"/>
        <w:snapToGrid/>
        <w:spacing w:before="55" w:line="240" w:lineRule="auto"/>
        <w:contextualSpacing/>
        <w:jc w:val="both"/>
        <w:textAlignment w:val="baseline"/>
        <w:outlineLvl w:val="2"/>
        <w:rPr>
          <w:rFonts w:hint="default" w:ascii="Times New Roman" w:hAnsi="Times New Roman" w:cs="Times New Roman" w:eastAsiaTheme="minorEastAsia"/>
          <w:b w:val="0"/>
          <w:bCs w:val="0"/>
          <w:snapToGrid/>
          <w:color w:val="000000"/>
          <w:kern w:val="2"/>
          <w:sz w:val="18"/>
          <w:szCs w:val="18"/>
          <w:lang w:val="en-US" w:eastAsia="zh-CN" w:bidi="ar-SA"/>
        </w:rPr>
      </w:pPr>
      <w:r>
        <w:rPr>
          <w:rFonts w:hint="default" w:ascii="Times New Roman" w:hAnsi="Times New Roman" w:cs="Times New Roman" w:eastAsiaTheme="minorEastAsia"/>
          <w:b/>
          <w:bCs/>
          <w:snapToGrid/>
          <w:color w:val="000000"/>
          <w:kern w:val="2"/>
          <w:sz w:val="18"/>
          <w:szCs w:val="18"/>
          <w:lang w:val="en-US" w:eastAsia="zh-CN" w:bidi="ar-SA"/>
        </w:rPr>
        <w:t xml:space="preserve">Table 3. </w:t>
      </w:r>
      <w:r>
        <w:rPr>
          <w:rFonts w:hint="default" w:ascii="Times New Roman" w:hAnsi="Times New Roman" w:cs="Times New Roman" w:eastAsiaTheme="minorEastAsia"/>
          <w:b w:val="0"/>
          <w:bCs w:val="0"/>
          <w:snapToGrid/>
          <w:color w:val="000000"/>
          <w:kern w:val="2"/>
          <w:sz w:val="18"/>
          <w:szCs w:val="18"/>
          <w:lang w:val="en-US" w:eastAsia="zh-CN" w:bidi="ar-SA"/>
        </w:rPr>
        <w:t>Results of the Secondary Coding Frequency Distribution for Future Research Gap Themes (C1–C10)</w:t>
      </w:r>
    </w:p>
    <w:p w14:paraId="62D8D837">
      <w:pPr>
        <w:pStyle w:val="6"/>
        <w:keepNext w:val="0"/>
        <w:keepLines w:val="0"/>
        <w:pageBreakBefore w:val="0"/>
        <w:widowControl/>
        <w:kinsoku w:val="0"/>
        <w:wordWrap/>
        <w:overflowPunct/>
        <w:topLinePunct w:val="0"/>
        <w:autoSpaceDE w:val="0"/>
        <w:autoSpaceDN w:val="0"/>
        <w:bidi w:val="0"/>
        <w:adjustRightInd w:val="0"/>
        <w:snapToGrid/>
        <w:spacing w:before="55" w:line="240" w:lineRule="auto"/>
        <w:contextualSpacing/>
        <w:jc w:val="both"/>
        <w:textAlignment w:val="baseline"/>
        <w:outlineLvl w:val="2"/>
        <w:rPr>
          <w:rFonts w:hint="default" w:ascii="Times New Roman" w:hAnsi="Times New Roman" w:cs="Times New Roman" w:eastAsiaTheme="minorEastAsia"/>
          <w:b w:val="0"/>
          <w:bCs w:val="0"/>
          <w:snapToGrid/>
          <w:color w:val="000000"/>
          <w:kern w:val="2"/>
          <w:sz w:val="18"/>
          <w:szCs w:val="18"/>
          <w:lang w:val="en-US" w:eastAsia="zh-CN" w:bidi="ar-SA"/>
        </w:rPr>
      </w:pPr>
    </w:p>
    <w:p w14:paraId="5AF4161E">
      <w:pPr>
        <w:pStyle w:val="6"/>
        <w:snapToGrid/>
        <w:spacing w:before="55" w:line="480" w:lineRule="auto"/>
        <w:contextualSpacing/>
        <w:jc w:val="both"/>
        <w:outlineLvl w:val="2"/>
        <w:rPr>
          <w:rFonts w:ascii="Times New Roman" w:hAnsi="Times New Roman" w:eastAsia="宋体" w:cs="Times New Roman"/>
          <w:b/>
          <w:bCs/>
          <w:snapToGrid/>
          <w:sz w:val="20"/>
          <w:szCs w:val="20"/>
          <w:lang w:val="en-US" w:eastAsia="zh-CN" w:bidi="ar-SA"/>
        </w:rPr>
      </w:pPr>
      <w:r>
        <w:rPr>
          <w:rFonts w:ascii="Times New Roman" w:hAnsi="Times New Roman" w:eastAsia="宋体" w:cs="Times New Roman"/>
          <w:b/>
          <w:bCs/>
          <w:snapToGrid/>
          <w:sz w:val="20"/>
          <w:szCs w:val="20"/>
          <w:lang w:val="en-US" w:eastAsia="zh-CN" w:bidi="ar-SA"/>
        </w:rPr>
        <w:t>Dominant Gap Themes</w:t>
      </w:r>
    </w:p>
    <w:p w14:paraId="1843EF44">
      <w:pPr>
        <w:kinsoku/>
        <w:adjustRightInd/>
        <w:snapToGrid/>
        <w:jc w:val="both"/>
        <w:textAlignment w:val="auto"/>
        <w:outlineLvl w:val="1"/>
        <w:rPr>
          <w:rFonts w:hint="eastAsia" w:ascii="Times New Roman" w:hAnsi="Times New Roman" w:eastAsia="宋体" w:cs="Times New Roman"/>
          <w:snapToGrid/>
          <w:color w:val="auto"/>
          <w:sz w:val="20"/>
          <w:szCs w:val="20"/>
        </w:rPr>
      </w:pPr>
      <w:r>
        <w:rPr>
          <w:rFonts w:hint="eastAsia" w:ascii="Times New Roman" w:hAnsi="Times New Roman" w:eastAsia="宋体" w:cs="Times New Roman"/>
          <w:snapToGrid/>
          <w:color w:val="auto"/>
          <w:sz w:val="20"/>
          <w:szCs w:val="20"/>
          <w:lang w:eastAsia="zh-CN"/>
        </w:rPr>
        <w:t>The most remarkable result is the eminence of two intertwined issues. Six out of 20 studies explicitly state the need of research into human-AI collaboration mechanisms, whereas as many of them focus on the need to conduct longitudinal and causal research designs (</w:t>
      </w:r>
      <w:r>
        <w:rPr>
          <w:rFonts w:hint="default" w:ascii="Times New Roman" w:hAnsi="Times New Roman" w:eastAsia="宋体" w:cs="Times New Roman"/>
          <w:snapToGrid/>
          <w:color w:val="auto"/>
          <w:sz w:val="20"/>
          <w:szCs w:val="20"/>
          <w:lang w:eastAsia="zh-CN"/>
        </w:rPr>
        <w:t>as shown in the</w:t>
      </w:r>
      <w:r>
        <w:rPr>
          <w:rFonts w:hint="eastAsia" w:ascii="Times New Roman" w:hAnsi="Times New Roman" w:eastAsia="宋体" w:cs="Times New Roman"/>
          <w:snapToGrid/>
          <w:color w:val="auto"/>
          <w:sz w:val="20"/>
          <w:szCs w:val="20"/>
          <w:lang w:val="en-US" w:eastAsia="zh-CN"/>
        </w:rPr>
        <w:t xml:space="preserve"> </w:t>
      </w:r>
      <w:r>
        <w:rPr>
          <w:rFonts w:hint="eastAsia" w:ascii="Times New Roman" w:hAnsi="Times New Roman" w:eastAsia="宋体" w:cs="Times New Roman"/>
          <w:snapToGrid/>
          <w:color w:val="auto"/>
          <w:sz w:val="20"/>
          <w:szCs w:val="20"/>
          <w:lang w:eastAsia="zh-CN"/>
        </w:rPr>
        <w:t xml:space="preserve">Table 3). These priorities cannot be seen as accidental: </w:t>
      </w:r>
      <w:r>
        <w:rPr>
          <w:rFonts w:hint="eastAsia" w:ascii="Times New Roman" w:hAnsi="Times New Roman" w:eastAsia="宋体" w:cs="Times New Roman"/>
          <w:snapToGrid/>
          <w:color w:val="auto"/>
          <w:sz w:val="20"/>
          <w:szCs w:val="20"/>
          <w:lang w:val="en-US" w:eastAsia="zh-CN"/>
        </w:rPr>
        <w:t>they directly respond to the recognized gap between rapid GenAI adoption and the unclear efficacy of such tools for sustained learning</w:t>
      </w:r>
      <w:r>
        <w:rPr>
          <w:rFonts w:hint="eastAsia" w:ascii="Times New Roman" w:hAnsi="Times New Roman" w:eastAsia="宋体" w:cs="Times New Roman"/>
          <w:snapToGrid/>
          <w:color w:val="auto"/>
          <w:sz w:val="20"/>
          <w:szCs w:val="20"/>
          <w:lang w:val="en-US" w:eastAsia="zh-CN"/>
        </w:rPr>
        <w:fldChar w:fldCharType="begin"/>
      </w:r>
      <w:r>
        <w:rPr>
          <w:rFonts w:hint="eastAsia" w:ascii="Times New Roman" w:hAnsi="Times New Roman" w:eastAsia="宋体" w:cs="Times New Roman"/>
          <w:snapToGrid/>
          <w:color w:val="auto"/>
          <w:sz w:val="20"/>
          <w:szCs w:val="20"/>
          <w:lang w:val="en-US" w:eastAsia="zh-CN"/>
        </w:rPr>
        <w:instrText xml:space="preserve"> ADDIN ZOTERO_ITEM CSL_CITATION {"citationID":"qGUi3I1M","properties":{"formattedCitation":"&lt;sup&gt;36–38&lt;/sup&gt;","plainCitation":"36–38","noteIndex":0},"citationItems":[{"id":1260,"uris":["http://zotero.org/groups/6329368/items/JWZF3BRS"],"itemData":{"id":1260,"type":"article-journal","abstract":"As the field of artificial intelligence (AI) continues to progress, the use of AI-powered chatbots, such as ChatGPT, in higher education settings has gained significant attention. This paper addresses a well-defined problem pertaining to the critical need for a comprehensive examination of students' ChatGPT adoption in higher education. To examine such adoption, it is imperative to focus on measuring actual user behavior. While measuring students' ChatGPT usage behavior at a specific point in time can be valuable, a more holistic approach is necessary to understand the temporal dynamics of AI adoption. To address this need, a longitudinal survey was conducted, examining how students' ChatGPT usage behavior changes over time among students, and unveiling the drivers of such behavior change. The empirical examination of 222 Dutch higher education students revealed a significant decline in students' ChatGPT usage behavior over an eight-month period. This period was defined by two distinct data collection phases: the initial phase (T1) and a follow-up phase conducted eight months later (T2).Furthermore, the results demonstrate that changes in trust, emotional creepiness, and Perceived Behavioral Control significantly predicted the observed change in usage behavior. The findings of this research carry significant academic and managerial implications, as they advance our comprehension of the temporal aspects of AI adoption in higher education. It also provides actionable guidance for AI developers and educational institutions seeking to optimize student engagement with AI technologies.","container-title":"Frontiers in Artificial Intelligence","DOI":"10.3389/frai.2023.1324398","ISSN":"2624-8212","journalAbbreviation":"Front. Artif. Intell.","language":"English","publisher":"Frontiers","source":"Frontiers","title":"A longitudinal study on artificial intelligence adoption: understanding the drivers of ChatGPT usage behavior change in higher education","title-short":"A longitudinal study on artificial intelligence adoption","URL":"https://www.frontiersin.org/journals/artificial-intelligence/articles/10.3389/frai.2023.1324398/full","volume":"6","author":[{"family":"Polyportis","given":"Athanasios"}],"accessed":{"date-parts":[["2026",1,8]]},"issued":{"date-parts":[["2024",1,5]]}},"label":"page"},{"id":1206,"uris":["http://zotero.org/groups/6329368/items/CZGRLCLW"],"itemData":{"id":1206,"type":"article-journal","abstract":"Sustainable education is a crucial aspect of creating a sustainable future, yet it faces several key challenges, including inadequate infrastructure, limited resources, and a lack of awareness and engagement. Artificial intelligence (AI) has the potential to address these challenges and enhance sustainable education by improving access to quality education, creating personalized learning experiences, and supporting data-driven decision-making. One outcome of using AI and Information Technology (IT) systems in sustainable education is the ability to provide students with personalized learning experiences that cater to their unique learning styles and preferences. Additionally, AI systems can provide teachers with data-driven insights into student performance, emotions, and engagement levels, enabling them to tailor their teaching methods and approaches or provide assistance or intervention accordingly. However, the use of AI and IT systems in sustainable education also presents challenges, including issues related to privacy and data security, as well as potential biases in algorithms and machine learning models. Moreover, the deployment of these systems requires significant investments in technology and infrastructure, which can be a challenge for educators. In this review paper, we will provide different perspectives from educators and information technology solution architects to connect education and AI technology. The discussion areas include sustainable education concepts and challenges, technology coverage and outcomes, as well as future research directions. By addressing these challenges and pursuing further research, we can unlock the full potential of these technologies and support a more equitable and sustainable education system.","container-title":"Smart Learning Environments","DOI":"10.1186/s40561-023-00260-y","ISSN":"2196-7091","issue":"1","journalAbbreviation":"Smart Learn. Environ.","language":"en","page":"41","source":"Springer Link","title":"Artificial intelligence in intelligent tutoring systems toward sustainable education: a systematic review","title-short":"Artificial intelligence in intelligent tutoring systems toward sustainable education","volume":"10","author":[{"family":"Lin","given":"Chien-Chang"},{"family":"Huang","given":"Anna Y. Q."},{"family":"Lu","given":"Owen H. T."}],"issued":{"date-parts":[["2023",8,28]]}},"label":"page"},{"id":1208,"uris":["http://zotero.org/groups/6329368/items/HUSB36PP"],"itemData":{"id":1208,"type":"article-journal","abstract":"This study presents an in-depth analysis of the factors influencing the adoption and utilisation of Artificial Intelligence (AI) in primary mathematics education. Employing a quantitative research design, the study integrates the Technology Acceptance Model (TAM) and Technological Pedagogical and Content Knowledge (TPACK) with empirical data collected from primary mathematics teachers in China. The analysis utilises Partial Least Squares Structural Equation Modelling (PLS-SEM) to explore the relationships among key constructs, including teacher attitudes, contextual factors, educational challenges, and parental and community involvement. The findings reveal that teacher attitudes play a critical role in AI adoption. The study extends existing literature by focusing on AI in primary mathematics education, highlighting the need for targeted professional development initiatives to foster positive attitudes and enhance teacher proficiency in AI technologies. Additionally, the research underscores the significance of TPACK in its critical role in equipping teachers with the knowledge required for effectively integrating AI into mathematics education. Moreover, the study explores the complex dynamics of contextual factors and educational challenges in AI integration, emphasising the need for systemic approaches that include policy changes and institutional support. The nuanced influence of TPACK on AI utilisation, particularly through indirect pathways, and the role of parental and community involvement are also examined, offering new insights into the multifaceted nature of technology adoption in educational settings. It contributes valuable insights to the academic discourse on technology integration in education and offers practical implications for educators, policymakers, and stakeholders.","container-title":"International Journal of Science and Mathematics Education","DOI":"10.1007/s10763-024-10515-w","ISSN":"1573-1774","issue":"5","journalAbbreviation":"Int J of Sci and Math Educ","language":"en","page":"1283-1308","source":"Springer Link","title":"Integrating Artificial Intelligence in Primary Mathematics Education: Investigating Internal and External Influences on Teacher Adoption","title-short":"Integrating Artificial Intelligence in Primary Mathematics Education","volume":"23","author":[{"family":"Li","given":"Mao"}],"issued":{"date-parts":[["2025",6,1]]}},"label":"page"}],"schema":"https://github.com/citation-style-language/schema/raw/master/csl-citation.json"} </w:instrText>
      </w:r>
      <w:r>
        <w:rPr>
          <w:rFonts w:hint="eastAsia" w:ascii="Times New Roman" w:hAnsi="Times New Roman" w:eastAsia="宋体" w:cs="Times New Roman"/>
          <w:snapToGrid/>
          <w:color w:val="auto"/>
          <w:sz w:val="20"/>
          <w:szCs w:val="20"/>
          <w:lang w:val="en-US" w:eastAsia="zh-CN"/>
        </w:rPr>
        <w:fldChar w:fldCharType="separate"/>
      </w:r>
      <w:r>
        <w:rPr>
          <w:rFonts w:hint="eastAsia" w:ascii="Times New Roman" w:hAnsi="Times New Roman" w:eastAsia="宋体" w:cs="Times New Roman"/>
          <w:snapToGrid/>
          <w:color w:val="auto"/>
          <w:sz w:val="20"/>
          <w:szCs w:val="20"/>
          <w:vertAlign w:val="superscript"/>
          <w:lang w:val="en-US" w:eastAsia="zh-CN"/>
        </w:rPr>
        <w:t>36–38</w:t>
      </w:r>
      <w:r>
        <w:rPr>
          <w:rFonts w:hint="eastAsia" w:ascii="Times New Roman" w:hAnsi="Times New Roman" w:eastAsia="宋体" w:cs="Times New Roman"/>
          <w:snapToGrid/>
          <w:color w:val="auto"/>
          <w:sz w:val="20"/>
          <w:szCs w:val="20"/>
          <w:lang w:val="en-US" w:eastAsia="zh-CN"/>
        </w:rPr>
        <w:fldChar w:fldCharType="end"/>
      </w:r>
      <w:r>
        <w:rPr>
          <w:rFonts w:hint="default" w:ascii="Times New Roman" w:hAnsi="Times New Roman" w:eastAsia="宋体" w:cs="Times New Roman"/>
          <w:snapToGrid/>
          <w:color w:val="auto"/>
          <w:sz w:val="20"/>
          <w:szCs w:val="20"/>
          <w:lang w:val="en-US" w:eastAsia="zh-CN"/>
        </w:rPr>
        <w:t xml:space="preserve">. </w:t>
      </w:r>
      <w:r>
        <w:rPr>
          <w:rFonts w:hint="eastAsia" w:ascii="Times New Roman" w:hAnsi="Times New Roman" w:eastAsia="宋体" w:cs="Times New Roman"/>
          <w:snapToGrid/>
          <w:color w:val="auto"/>
          <w:sz w:val="20"/>
          <w:szCs w:val="20"/>
          <w:lang w:val="en-US" w:eastAsia="zh-CN"/>
        </w:rPr>
        <w:t>T</w:t>
      </w:r>
      <w:r>
        <w:rPr>
          <w:rFonts w:hint="eastAsia" w:ascii="Times New Roman" w:hAnsi="Times New Roman" w:eastAsia="宋体" w:cs="Times New Roman"/>
          <w:snapToGrid/>
          <w:color w:val="auto"/>
          <w:sz w:val="20"/>
          <w:szCs w:val="20"/>
          <w:lang w:eastAsia="zh-CN"/>
        </w:rPr>
        <w:t xml:space="preserve">he sphere has already left behind the question of whether students use </w:t>
      </w:r>
      <w:r>
        <w:rPr>
          <w:rFonts w:hint="eastAsia" w:ascii="Times New Roman" w:hAnsi="Times New Roman" w:eastAsia="宋体" w:cs="Times New Roman"/>
          <w:snapToGrid/>
          <w:color w:val="auto"/>
          <w:sz w:val="20"/>
          <w:szCs w:val="20"/>
          <w:lang w:val="en-US" w:eastAsia="zh-CN"/>
        </w:rPr>
        <w:t>Gen</w:t>
      </w:r>
      <w:r>
        <w:rPr>
          <w:rFonts w:hint="eastAsia" w:ascii="Times New Roman" w:hAnsi="Times New Roman" w:eastAsia="宋体" w:cs="Times New Roman"/>
          <w:snapToGrid/>
          <w:color w:val="auto"/>
          <w:sz w:val="20"/>
          <w:szCs w:val="20"/>
          <w:lang w:eastAsia="zh-CN"/>
        </w:rPr>
        <w:t>AI tools, but there is still no basic insight into how such interactions evolve over time and which patterns of engagement can be used to generate meaningful learning outcomes</w:t>
      </w:r>
      <w:r>
        <w:rPr>
          <w:rFonts w:hint="eastAsia" w:ascii="Times New Roman" w:hAnsi="Times New Roman" w:eastAsia="宋体" w:cs="Times New Roman"/>
          <w:snapToGrid/>
          <w:color w:val="auto"/>
          <w:sz w:val="20"/>
          <w:szCs w:val="20"/>
          <w:lang w:eastAsia="zh-CN"/>
        </w:rPr>
        <w:fldChar w:fldCharType="begin"/>
      </w:r>
      <w:r>
        <w:rPr>
          <w:rFonts w:hint="eastAsia" w:ascii="Times New Roman" w:hAnsi="Times New Roman" w:eastAsia="宋体" w:cs="Times New Roman"/>
          <w:snapToGrid/>
          <w:color w:val="auto"/>
          <w:sz w:val="20"/>
          <w:szCs w:val="20"/>
          <w:lang w:eastAsia="zh-CN"/>
        </w:rPr>
        <w:instrText xml:space="preserve"> ADDIN ZOTERO_ITEM CSL_CITATION {"citationID":"3UA8AvCN","properties":{"formattedCitation":"&lt;sup&gt;39,40&lt;/sup&gt;","plainCitation":"39,40","noteIndex":0},"citationItems":[{"id":1266,"uris":["http://zotero.org/groups/6329368/items/WUPNTMMN"],"itemData":{"id":1266,"type":"article-journal","abstract":"Socially shared regulation of learning (SSRL) is a crucial process for groups of learners to successfully collaborate. Detecting and supporting SSRL is a challenge, especially in real time, but hybrid intelligence approaches such as Artificial Intelligence (AI) agents may make this possible. Leveraging the concept of trigger events which invite SSRL, we present a design of an AI agent, MAI, which can detect SSRL and prompt students to raise their group-level metacognitive awareness with the aim of facilitating SSRL. We present the methodology we used to design MAI, drawing on the Echeloned DSR (eDSR) Methodological Framework and making use of the Wizard of Oz prototyping paradigm. We likewise present empirical results evaluating our initial prototype of MAI, using lexical alignment between speakers as a quantitative measure of the effect of MAI's prompts on facilitating SSRL, the Partner Model Questionnaire as a quantitative measure of perceptions of MAI, and interviews as qualitative context for these perceptions. We found that the first prototype of MAI did not facilitate SSRL as hoped, possibly owing to mixed perceptions of MAI's reliability and lack of clarity about MAI's role in the collaborative learning task. From these findings, we offer revised prompts for the next iteration of prototyping this agent and a refined set of design requirements for future development of metacognitive AI agents for supporting SSRL. Practitioner notes What is already known about this topic Socially Shared Regulation of Learning (SSRL) is recognized as a critical component for the success of collaborative learning, emphasizing the importance of group-level regulatory processes in achieving shared goals, enacting strategies and monitoring learning progress. Supporting SSRL in face-to-face collaborative learning environments presents challenges, including the complexity of coordinating and synchronizing individual contributions and regulatory actions within a group context. What this paper adds This paper introduces the design of Metacognitive Artificial Intelligence (MAI), a novel AI system aimed at enhancing Human-AI collaboration for supporting and augmenting SSRL processes. Through empirical research, the study offers lessons learned and design considerations for developing artificial agents on facilitating and enhancing SSRL among learners, demonstrating how AI can play a pivotal role in collaborative learning environments. The findings highlight the critical importance of multidisciplinary knowledge in the design of multi-agent interfaces (MAI) that provide real-time, adaptive support for group metacognitive processes and decision-making. Implications for practice and/or policy Educational technologists can utilize the proposed design principles in the development and integration of MAI tools to enhance SSRL. Educators can incorporate the principles of MAI and our relevant findings into their teaching strategies to actively foster and support socially shared regulation of learning among students. Policymakers should consider revising educational frameworks to include the use of AI technologies that support SSRL strategies in collaborative learning.","container-title":"British Journal of Educational Technology","DOI":"10.1111/bjet.13534","ISSN":"1467-8535","issue":"2","language":"en","license":"© 2024 The Author(s). British Journal of Educational Technology published by John Wiley &amp; Sons Ltd on behalf of British Educational Research Association.","note":"_eprint: https://bera-journals.onlinelibrary.wiley.com/doi/pdf/10.1111/bjet.13534","page":"712-733","source":"Wiley Online Library","title":"Human-AI collaboration: Designing artificial agents to facilitate socially shared regulation among learners","title-short":"Human-AI collaboration","volume":"56","author":[{"family":"Edwards","given":"Justin"},{"family":"Nguyen","given":"Andy"},{"family":"Lämsä","given":"Joni"},{"family":"Sobocinski","given":"Marta"},{"family":"Whitehead","given":"Ridwan"},{"family":"Dang","given":"Belle"},{"family":"Roberts","given":"Anni-Sofia"},{"family":"Järvelä","given":"Sanna"}],"issued":{"date-parts":[["2025"]]}},"label":"page"},{"id":1269,"uris":["http://zotero.org/groups/6329368/items/F8AHRFIM"],"itemData":{"id":1269,"type":"article-journal","abstract":"Considering both the transformative opportunities and challenges presented by generative AI (GenAI) in academic writing, effectively integrating GenAI into the academic setting becomes a significant need requiring prioritization. Yet, there is limited understanding regarding the nature of interactions between different types of students, what behavioral patterns students exhibit during a student-GenAI interaction (SAI) on a given task, and how these different SAI patterns relate to the actual writing task performance. This study, therefore, aimed to identify SAI patterns of academic writing tasks depending on students’ level of AI literacy and examine the differences in academic writing performance between the identified SAI patterns. Drawing from the combination of three data sources, including think-aloud protocols, screen-recordings, and chat histories between 36 Chinese graduate students and a GenAI writing system, epistemic network analysis (ENA) was used to reveal the distinctive SAI patterns of students with different levels of AI literacy. The study found that students with a high level of AI literacy exhibited a collaborative approach to SAI, actively accepting GenAI’s suggestions and engaging GenAI in meta-cognitive-related activities such as planning, whereas students with a low level of AI literacy demonstrated much less interaction with GenAI in completing their writing tasks, instead choosing to ideate and evaluate independently. In addition, the Wilcoxon rank-sum (Mann-Whitney U) test was conducted to assess the writing task performance of the two AI literacy groups. Findings revealed statistical differences in all evaluation rubrics (content, structure/organization, expression). This study offers implications for the design and implementation of GenAI agents in writing tasks and the pedagogy of GenAI-assisted instruction.","container-title":"Journal of Computing in Higher Education","DOI":"10.1007/s12528-025-09444-6","ISSN":"1867-1233","journalAbbreviation":"J Comput High Educ","language":"en","source":"Springer Link","title":"Students-Generative AI interaction patterns and its impact on academic writing","URL":"https://doi.org/10.1007/s12528-025-09444-6","author":[{"family":"Kim","given":"Jinhee"},{"family":"Lee","given":"Sang-Soog"},{"family":"Detrick","given":"Rita"},{"family":"Wang","given":"Jialin"},{"family":"Li","given":"Na"}],"accessed":{"date-parts":[["2026",1,8]]},"issued":{"date-parts":[["2025",4,17]]}},"label":"page"}],"schema":"https://github.com/citation-style-language/schema/raw/master/csl-citation.json"} </w:instrText>
      </w:r>
      <w:r>
        <w:rPr>
          <w:rFonts w:hint="eastAsia" w:ascii="Times New Roman" w:hAnsi="Times New Roman" w:eastAsia="宋体" w:cs="Times New Roman"/>
          <w:snapToGrid/>
          <w:color w:val="auto"/>
          <w:sz w:val="20"/>
          <w:szCs w:val="20"/>
          <w:lang w:eastAsia="zh-CN"/>
        </w:rPr>
        <w:fldChar w:fldCharType="separate"/>
      </w:r>
      <w:r>
        <w:rPr>
          <w:rFonts w:hint="eastAsia" w:ascii="Times New Roman" w:hAnsi="Times New Roman" w:eastAsia="宋体" w:cs="Times New Roman"/>
          <w:snapToGrid/>
          <w:color w:val="auto"/>
          <w:sz w:val="20"/>
          <w:szCs w:val="20"/>
          <w:vertAlign w:val="superscript"/>
          <w:lang w:eastAsia="zh-CN"/>
        </w:rPr>
        <w:t>39,40</w:t>
      </w:r>
      <w:r>
        <w:rPr>
          <w:rFonts w:hint="eastAsia" w:ascii="Times New Roman" w:hAnsi="Times New Roman" w:eastAsia="宋体" w:cs="Times New Roman"/>
          <w:snapToGrid/>
          <w:color w:val="auto"/>
          <w:sz w:val="20"/>
          <w:szCs w:val="20"/>
          <w:lang w:eastAsia="zh-CN"/>
        </w:rPr>
        <w:fldChar w:fldCharType="end"/>
      </w:r>
      <w:r>
        <w:rPr>
          <w:rFonts w:hint="eastAsia" w:ascii="Times New Roman" w:hAnsi="Times New Roman" w:eastAsia="宋体" w:cs="Times New Roman"/>
          <w:snapToGrid/>
          <w:color w:val="auto"/>
          <w:sz w:val="20"/>
          <w:szCs w:val="20"/>
          <w:lang w:eastAsia="zh-CN"/>
        </w:rPr>
        <w:t>.</w:t>
      </w:r>
      <w:r>
        <w:rPr>
          <w:rFonts w:hint="eastAsia" w:ascii="Times New Roman" w:hAnsi="Times New Roman" w:eastAsia="宋体" w:cs="Times New Roman"/>
          <w:snapToGrid/>
          <w:color w:val="auto"/>
          <w:sz w:val="20"/>
          <w:szCs w:val="20"/>
          <w:lang w:val="en-US" w:eastAsia="zh-CN"/>
        </w:rPr>
        <w:t xml:space="preserve"> </w:t>
      </w:r>
      <w:r>
        <w:rPr>
          <w:rFonts w:hint="eastAsia" w:ascii="Times New Roman" w:hAnsi="Times New Roman" w:eastAsia="宋体" w:cs="Times New Roman"/>
          <w:snapToGrid/>
          <w:color w:val="auto"/>
          <w:sz w:val="20"/>
          <w:szCs w:val="20"/>
          <w:lang w:eastAsia="zh-CN"/>
        </w:rPr>
        <w:t xml:space="preserve">The investigators point to a black box issue in collaboration between human beings and </w:t>
      </w:r>
      <w:r>
        <w:rPr>
          <w:rFonts w:hint="eastAsia" w:ascii="Times New Roman" w:hAnsi="Times New Roman" w:eastAsia="宋体" w:cs="Times New Roman"/>
          <w:snapToGrid/>
          <w:color w:val="auto"/>
          <w:sz w:val="20"/>
          <w:szCs w:val="20"/>
          <w:lang w:val="en-US" w:eastAsia="zh-CN"/>
        </w:rPr>
        <w:t>Gen</w:t>
      </w:r>
      <w:r>
        <w:rPr>
          <w:rFonts w:hint="eastAsia" w:ascii="Times New Roman" w:hAnsi="Times New Roman" w:eastAsia="宋体" w:cs="Times New Roman"/>
          <w:snapToGrid/>
          <w:color w:val="auto"/>
          <w:sz w:val="20"/>
          <w:szCs w:val="20"/>
          <w:lang w:eastAsia="zh-CN"/>
        </w:rPr>
        <w:t xml:space="preserve">AI. Student prompts, design briefs (inputs), AI-generated pictures, refined concepts (outputs) are visible, whereas the process between is a black box. Questions of the essence are: at what point do students use AI, and at what point do they work on their own? What is the process of </w:t>
      </w:r>
      <w:r>
        <w:rPr>
          <w:rFonts w:hint="eastAsia" w:ascii="Times New Roman" w:hAnsi="Times New Roman" w:eastAsia="宋体" w:cs="Times New Roman"/>
          <w:snapToGrid/>
          <w:color w:val="auto"/>
          <w:sz w:val="20"/>
          <w:szCs w:val="20"/>
          <w:lang w:val="en-US" w:eastAsia="zh-CN"/>
        </w:rPr>
        <w:t>Gen</w:t>
      </w:r>
      <w:r>
        <w:rPr>
          <w:rFonts w:hint="eastAsia" w:ascii="Times New Roman" w:hAnsi="Times New Roman" w:eastAsia="宋体" w:cs="Times New Roman"/>
          <w:snapToGrid/>
          <w:color w:val="auto"/>
          <w:sz w:val="20"/>
          <w:szCs w:val="20"/>
          <w:lang w:eastAsia="zh-CN"/>
        </w:rPr>
        <w:t xml:space="preserve">AI suggestions evaluation and integration? What is the situation when the outputs of </w:t>
      </w:r>
      <w:r>
        <w:rPr>
          <w:rFonts w:hint="eastAsia" w:ascii="Times New Roman" w:hAnsi="Times New Roman" w:eastAsia="宋体" w:cs="Times New Roman"/>
          <w:snapToGrid/>
          <w:color w:val="auto"/>
          <w:sz w:val="20"/>
          <w:szCs w:val="20"/>
          <w:lang w:val="en-US" w:eastAsia="zh-CN"/>
        </w:rPr>
        <w:t>Gen</w:t>
      </w:r>
      <w:r>
        <w:rPr>
          <w:rFonts w:hint="eastAsia" w:ascii="Times New Roman" w:hAnsi="Times New Roman" w:eastAsia="宋体" w:cs="Times New Roman"/>
          <w:snapToGrid/>
          <w:color w:val="auto"/>
          <w:sz w:val="20"/>
          <w:szCs w:val="20"/>
          <w:lang w:eastAsia="zh-CN"/>
        </w:rPr>
        <w:t xml:space="preserve">AI contradict the original design goals? These are the main questions that can be discussed in connection with </w:t>
      </w:r>
      <w:r>
        <w:rPr>
          <w:rFonts w:hint="eastAsia" w:ascii="Times New Roman" w:hAnsi="Times New Roman" w:eastAsia="宋体" w:cs="Times New Roman"/>
          <w:snapToGrid/>
          <w:color w:val="auto"/>
          <w:sz w:val="20"/>
          <w:szCs w:val="20"/>
          <w:lang w:val="en-US" w:eastAsia="zh-CN"/>
        </w:rPr>
        <w:t>Gen</w:t>
      </w:r>
      <w:r>
        <w:rPr>
          <w:rFonts w:hint="eastAsia" w:ascii="Times New Roman" w:hAnsi="Times New Roman" w:eastAsia="宋体" w:cs="Times New Roman"/>
          <w:snapToGrid/>
          <w:color w:val="auto"/>
          <w:sz w:val="20"/>
          <w:szCs w:val="20"/>
          <w:lang w:eastAsia="zh-CN"/>
        </w:rPr>
        <w:t>AI-enhanced design learning.</w:t>
      </w:r>
      <w:r>
        <w:rPr>
          <w:rFonts w:hint="default" w:ascii="Times New Roman" w:hAnsi="Times New Roman" w:eastAsia="宋体" w:cs="Times New Roman"/>
          <w:snapToGrid/>
          <w:color w:val="auto"/>
          <w:sz w:val="20"/>
          <w:szCs w:val="20"/>
          <w:lang w:eastAsia="zh-CN"/>
        </w:rPr>
        <w:t>The equally frequent calls for longitudinal research reflect a related frustration with the field</w:t>
      </w:r>
      <w:r>
        <w:rPr>
          <w:rFonts w:hint="default" w:ascii="Times New Roman" w:hAnsi="Times New Roman" w:eastAsia="宋体" w:cs="Times New Roman"/>
          <w:snapToGrid/>
          <w:color w:val="auto"/>
          <w:sz w:val="20"/>
          <w:szCs w:val="20"/>
          <w:lang w:val="en-US" w:eastAsia="zh-CN"/>
        </w:rPr>
        <w:t>’</w:t>
      </w:r>
      <w:r>
        <w:rPr>
          <w:rFonts w:hint="default" w:ascii="Times New Roman" w:hAnsi="Times New Roman" w:eastAsia="宋体" w:cs="Times New Roman"/>
          <w:snapToGrid/>
          <w:color w:val="auto"/>
          <w:sz w:val="20"/>
          <w:szCs w:val="20"/>
          <w:lang w:eastAsia="zh-CN"/>
        </w:rPr>
        <w:t>s current methodological constraints</w:t>
      </w:r>
      <w:r>
        <w:rPr>
          <w:rFonts w:hint="default" w:ascii="Times New Roman" w:hAnsi="Times New Roman" w:eastAsia="宋体" w:cs="Times New Roman"/>
          <w:snapToGrid/>
          <w:color w:val="auto"/>
          <w:sz w:val="20"/>
          <w:szCs w:val="20"/>
          <w:lang w:eastAsia="zh-CN"/>
        </w:rPr>
        <w:fldChar w:fldCharType="begin"/>
      </w:r>
      <w:r>
        <w:rPr>
          <w:rFonts w:hint="eastAsia" w:ascii="Times New Roman" w:hAnsi="Times New Roman" w:eastAsia="宋体" w:cs="Times New Roman"/>
          <w:snapToGrid/>
          <w:color w:val="auto"/>
          <w:sz w:val="20"/>
          <w:szCs w:val="20"/>
          <w:lang w:eastAsia="zh-CN"/>
        </w:rPr>
        <w:instrText xml:space="preserve"> ADDIN ZOTERO_ITEM CSL_CITATION {"citationID":"dRTDlrCu","properties":{"formattedCitation":"&lt;sup&gt;41&lt;/sup&gt;","plainCitation":"41","noteIndex":0},"citationItems":[{"id":1153,"uris":["http://zotero.org/groups/6329368/items/ZRF94ZZP"],"itemData":{"id":1153,"type":"article-journal","abstract":"Programming education consistently faces challenges in bridging theory with practice and fostering students’ cognitive competencies. This 12-year longitudinal study (2011–2023) investigates an innovative competency-based teaching model in university C programming education that integrates six educational theories into a coherent framework with three dimensions (theoretical, practical, innovative), four integration mechanisms, and five combinatorial strategies. Using a mixed-methods approach with a quasi-experimental design, we studied 4,051 undergraduate students from a Chinese university. Results revealed significant enhancement in students’ cognitive abilities, as measured by Raven’s Standard Progressive Matrices (t (350) = 8.76, p &lt; 0.001, d = 0.68), which strongly correlated with improved academic performance (r = 0.62), computational thinking (r = 0.71), and problem-solving skills (r = 0.67). The model creates multiple pathways for cognitive development through synergistic interactions between components, promoting collaboration and self-directed learning with effects extending beyond graduation. Multiple regression analysis identified three key predictors of cognitive enhancement: classroom engagement (β = 0.35), project completion (β = 0.28), and participation in innovation activities (β = 0.22). This study provides robust empirical evidence for the long-term efficacy of a competency-based model in programming education, presenting a transformative approach to STEM education reform particularly relevant in rapidly evolving technological landscapes.","container-title":"Education and Information Technologies","DOI":"10.1007/s10639-025-13582-w","ISSN":"1573-7608","issue":"14","journalAbbreviation":"Educ Inf Technol","language":"en","page":"20347-20383","source":"Springer Link","title":"Cognitive enhancement through competency-based programming education: a 12-year longitudinal study","title-short":"Cognitive enhancement through competency-based programming education","volume":"30","author":[{"family":"Yao","given":"Dunhong"},{"family":"Lin","given":"Jing"}],"issued":{"date-parts":[["2025",9,1]]}}}],"schema":"https://github.com/citation-style-language/schema/raw/master/csl-citation.json"} </w:instrText>
      </w:r>
      <w:r>
        <w:rPr>
          <w:rFonts w:hint="default" w:ascii="Times New Roman" w:hAnsi="Times New Roman" w:eastAsia="宋体" w:cs="Times New Roman"/>
          <w:snapToGrid/>
          <w:color w:val="auto"/>
          <w:sz w:val="20"/>
          <w:szCs w:val="20"/>
          <w:lang w:eastAsia="zh-CN"/>
        </w:rPr>
        <w:fldChar w:fldCharType="separate"/>
      </w:r>
      <w:r>
        <w:rPr>
          <w:rFonts w:hint="eastAsia" w:ascii="Times New Roman" w:hAnsi="Times New Roman" w:eastAsia="宋体" w:cs="Times New Roman"/>
          <w:snapToGrid/>
          <w:color w:val="auto"/>
          <w:sz w:val="20"/>
          <w:szCs w:val="20"/>
          <w:vertAlign w:val="superscript"/>
          <w:lang w:eastAsia="zh-CN"/>
        </w:rPr>
        <w:t>41</w:t>
      </w:r>
      <w:r>
        <w:rPr>
          <w:rFonts w:hint="default" w:ascii="Times New Roman" w:hAnsi="Times New Roman" w:eastAsia="宋体" w:cs="Times New Roman"/>
          <w:snapToGrid/>
          <w:color w:val="auto"/>
          <w:sz w:val="20"/>
          <w:szCs w:val="20"/>
          <w:lang w:eastAsia="zh-CN"/>
        </w:rPr>
        <w:fldChar w:fldCharType="end"/>
      </w:r>
      <w:r>
        <w:rPr>
          <w:rFonts w:hint="default" w:ascii="Times New Roman" w:hAnsi="Times New Roman" w:eastAsia="宋体" w:cs="Times New Roman"/>
          <w:snapToGrid/>
          <w:color w:val="auto"/>
          <w:sz w:val="20"/>
          <w:szCs w:val="20"/>
          <w:lang w:eastAsia="zh-CN"/>
        </w:rPr>
        <w:t>.</w:t>
      </w:r>
      <w:r>
        <w:rPr>
          <w:rFonts w:hint="eastAsia" w:ascii="Times New Roman" w:hAnsi="Times New Roman" w:eastAsia="宋体" w:cs="Times New Roman"/>
          <w:snapToGrid/>
          <w:color w:val="auto"/>
          <w:sz w:val="20"/>
          <w:szCs w:val="20"/>
        </w:rPr>
        <w:t xml:space="preserve"> </w:t>
      </w:r>
    </w:p>
    <w:p w14:paraId="1C6A2A15">
      <w:pPr>
        <w:pStyle w:val="6"/>
        <w:snapToGrid/>
        <w:spacing w:before="55" w:line="480" w:lineRule="auto"/>
        <w:contextualSpacing/>
        <w:jc w:val="both"/>
        <w:outlineLvl w:val="2"/>
        <w:rPr>
          <w:rFonts w:ascii="Times New Roman" w:hAnsi="Times New Roman" w:cs="Times New Roman"/>
          <w:spacing w:val="4"/>
          <w:position w:val="2"/>
          <w:sz w:val="24"/>
          <w:szCs w:val="24"/>
          <w:lang w:eastAsia="zh-CN"/>
        </w:rPr>
      </w:pPr>
      <w:r>
        <w:rPr>
          <w:rFonts w:ascii="Times New Roman" w:hAnsi="Times New Roman" w:eastAsia="宋体" w:cs="Times New Roman"/>
          <w:b/>
          <w:bCs/>
          <w:snapToGrid/>
          <w:sz w:val="20"/>
          <w:szCs w:val="20"/>
          <w:lang w:val="en-US" w:eastAsia="zh-CN" w:bidi="ar-SA"/>
        </w:rPr>
        <w:t>Research Needs in the Long Run</w:t>
      </w:r>
    </w:p>
    <w:p w14:paraId="6B707EFB">
      <w:pPr>
        <w:kinsoku/>
        <w:adjustRightInd/>
        <w:snapToGrid/>
        <w:jc w:val="both"/>
        <w:textAlignment w:val="auto"/>
        <w:outlineLvl w:val="1"/>
        <w:rPr>
          <w:rFonts w:hint="eastAsia" w:ascii="Times New Roman" w:hAnsi="Times New Roman" w:eastAsia="宋体" w:cs="Times New Roman"/>
          <w:snapToGrid/>
          <w:color w:val="auto"/>
          <w:sz w:val="20"/>
          <w:szCs w:val="20"/>
          <w:lang w:eastAsia="zh-CN"/>
        </w:rPr>
      </w:pPr>
      <w:r>
        <w:rPr>
          <w:rFonts w:hint="eastAsia" w:ascii="Times New Roman" w:hAnsi="Times New Roman" w:eastAsia="宋体" w:cs="Times New Roman"/>
          <w:snapToGrid/>
          <w:color w:val="auto"/>
          <w:sz w:val="20"/>
          <w:szCs w:val="20"/>
          <w:lang w:eastAsia="zh-CN"/>
        </w:rPr>
        <w:t>The demand of longitudinal research is a manifestation of the frustration with methodological limitations</w:t>
      </w:r>
      <w:r>
        <w:rPr>
          <w:rFonts w:hint="eastAsia" w:ascii="Times New Roman" w:hAnsi="Times New Roman" w:eastAsia="宋体" w:cs="Times New Roman"/>
          <w:snapToGrid/>
          <w:color w:val="auto"/>
          <w:sz w:val="20"/>
          <w:szCs w:val="20"/>
          <w:lang w:eastAsia="zh-CN"/>
        </w:rPr>
        <w:fldChar w:fldCharType="begin"/>
      </w:r>
      <w:r>
        <w:rPr>
          <w:rFonts w:hint="eastAsia" w:ascii="Times New Roman" w:hAnsi="Times New Roman" w:eastAsia="宋体" w:cs="Times New Roman"/>
          <w:snapToGrid/>
          <w:color w:val="auto"/>
          <w:sz w:val="20"/>
          <w:szCs w:val="20"/>
          <w:lang w:eastAsia="zh-CN"/>
        </w:rPr>
        <w:instrText xml:space="preserve"> ADDIN ZOTERO_ITEM CSL_CITATION {"citationID":"2KBb21C4","properties":{"formattedCitation":"&lt;sup&gt;41&lt;/sup&gt;","plainCitation":"41","noteIndex":0},"citationItems":[{"id":1153,"uris":["http://zotero.org/groups/6329368/items/ZRF94ZZP"],"itemData":{"id":1153,"type":"article-journal","abstract":"Programming education consistently faces challenges in bridging theory with practice and fostering students’ cognitive competencies. This 12-year longitudinal study (2011–2023) investigates an innovative competency-based teaching model in university C programming education that integrates six educational theories into a coherent framework with three dimensions (theoretical, practical, innovative), four integration mechanisms, and five combinatorial strategies. Using a mixed-methods approach with a quasi-experimental design, we studied 4,051 undergraduate students from a Chinese university. Results revealed significant enhancement in students’ cognitive abilities, as measured by Raven’s Standard Progressive Matrices (t (350) = 8.76, p &lt; 0.001, d = 0.68), which strongly correlated with improved academic performance (r = 0.62), computational thinking (r = 0.71), and problem-solving skills (r = 0.67). The model creates multiple pathways for cognitive development through synergistic interactions between components, promoting collaboration and self-directed learning with effects extending beyond graduation. Multiple regression analysis identified three key predictors of cognitive enhancement: classroom engagement (β = 0.35), project completion (β = 0.28), and participation in innovation activities (β = 0.22). This study provides robust empirical evidence for the long-term efficacy of a competency-based model in programming education, presenting a transformative approach to STEM education reform particularly relevant in rapidly evolving technological landscapes.","container-title":"Education and Information Technologies","DOI":"10.1007/s10639-025-13582-w","ISSN":"1573-7608","issue":"14","journalAbbreviation":"Educ Inf Technol","language":"en","page":"20347-20383","source":"Springer Link","title":"Cognitive enhancement through competency-based programming education: a 12-year longitudinal study","title-short":"Cognitive enhancement through competency-based programming education","volume":"30","author":[{"family":"Yao","given":"Dunhong"},{"family":"Lin","given":"Jing"}],"issued":{"date-parts":[["2025",9,1]]}}}],"schema":"https://github.com/citation-style-language/schema/raw/master/csl-citation.json"} </w:instrText>
      </w:r>
      <w:r>
        <w:rPr>
          <w:rFonts w:hint="eastAsia" w:ascii="Times New Roman" w:hAnsi="Times New Roman" w:eastAsia="宋体" w:cs="Times New Roman"/>
          <w:snapToGrid/>
          <w:color w:val="auto"/>
          <w:sz w:val="20"/>
          <w:szCs w:val="20"/>
          <w:lang w:eastAsia="zh-CN"/>
        </w:rPr>
        <w:fldChar w:fldCharType="separate"/>
      </w:r>
      <w:r>
        <w:rPr>
          <w:rFonts w:hint="eastAsia" w:ascii="Times New Roman" w:hAnsi="Times New Roman" w:eastAsia="宋体" w:cs="Times New Roman"/>
          <w:snapToGrid/>
          <w:color w:val="auto"/>
          <w:sz w:val="20"/>
          <w:szCs w:val="20"/>
          <w:vertAlign w:val="superscript"/>
          <w:lang w:eastAsia="zh-CN"/>
        </w:rPr>
        <w:t>41</w:t>
      </w:r>
      <w:r>
        <w:rPr>
          <w:rFonts w:hint="eastAsia" w:ascii="Times New Roman" w:hAnsi="Times New Roman" w:eastAsia="宋体" w:cs="Times New Roman"/>
          <w:snapToGrid/>
          <w:color w:val="auto"/>
          <w:sz w:val="20"/>
          <w:szCs w:val="20"/>
          <w:lang w:eastAsia="zh-CN"/>
        </w:rPr>
        <w:fldChar w:fldCharType="end"/>
      </w:r>
      <w:r>
        <w:rPr>
          <w:rFonts w:hint="eastAsia" w:ascii="Times New Roman" w:hAnsi="Times New Roman" w:eastAsia="宋体" w:cs="Times New Roman"/>
          <w:snapToGrid/>
          <w:color w:val="auto"/>
          <w:sz w:val="20"/>
          <w:szCs w:val="20"/>
          <w:lang w:eastAsia="zh-CN"/>
        </w:rPr>
        <w:t>. A majority of the researches focus on snapshots: workshops, semester-based courses, or single projects</w:t>
      </w:r>
      <w:r>
        <w:rPr>
          <w:rFonts w:hint="eastAsia" w:ascii="Times New Roman" w:hAnsi="Times New Roman" w:eastAsia="宋体" w:cs="Times New Roman"/>
          <w:snapToGrid/>
          <w:color w:val="auto"/>
          <w:sz w:val="20"/>
          <w:szCs w:val="20"/>
          <w:lang w:eastAsia="zh-CN"/>
        </w:rPr>
        <w:fldChar w:fldCharType="begin"/>
      </w:r>
      <w:r>
        <w:rPr>
          <w:rFonts w:hint="eastAsia" w:ascii="Times New Roman" w:hAnsi="Times New Roman" w:eastAsia="宋体" w:cs="Times New Roman"/>
          <w:snapToGrid/>
          <w:color w:val="auto"/>
          <w:sz w:val="20"/>
          <w:szCs w:val="20"/>
          <w:lang w:eastAsia="zh-CN"/>
        </w:rPr>
        <w:instrText xml:space="preserve"> ADDIN ZOTERO_ITEM CSL_CITATION {"citationID":"MlYTL6Wq","properties":{"formattedCitation":"&lt;sup&gt;42&lt;/sup&gt;","plainCitation":"42","noteIndex":0},"citationItems":[{"id":1157,"uris":["http://zotero.org/groups/6329368/items/SVFRILLF"],"itemData":{"id":1157,"type":"article","abstract":"This pilot study traces students' reflections on the use of AI in a 13-week foundational design course enrolling over 500 first-year engineering and architecture students at the Singapore University of Technology and Design. The course was an AI-enhanced design course, with several interventions to equip students with AI based design skills. Students were required to reflect on whether the technology was used as a tool (instrumental assistant), a teammate (collaborative partner), or neither (deliberate non-use). By foregrounding this three-way lens, students learned to use AI for innovation rather than just automation and to reflect on agency, ethics, and context rather than on prompt crafting alone. Evidence stems from coursework artefacts: thirteen structured reflection spreadsheets and eight illustrated briefs submitted, combined with notes of teachers and researchers. Qualitative coding of these materials reveals shared practices brought about through the inclusion of Gen-AI, including accelerated prototyping, rapid skill acquisition, iterative prompt refinement, purposeful \"switch-offs\" during user research, and emergent routines for recognizing hallucinations. Unexpectedly, students not only harnessed Gen-AI for speed but (enabled by the tool-teammate-neither triage) also learned to reject its outputs, invent their own hallucination fire-drills, and divert the reclaimed hours into deeper user research, thereby transforming efficiency into innovation. The implications of the approach we explore shows that: we can transform AI uptake into an assessable design habit; that rewarding selective non-use cultivates hallucination-aware workflows; and, practically, that a coordinated bundle of tool access, reflection, role tagging, and public recognition through competition awards allows AI based innovation in education to scale without compromising accountability.","DOI":"10.48550/arXiv.2510.19342","note":"arXiv:2510.19342 [cs]","number":"arXiv:2510.19342","publisher":"arXiv","source":"arXiv.org","title":"To Use or to Refuse? Re-Centering Student Agency with Generative AI in Engineering Design Education","title-short":"To Use or to Refuse?","URL":"http://arxiv.org/abs/2510.19342","author":[{"family":"Willems","given":"Thijs"},{"family":"Khan","given":"Sumbul"},{"family":"Huang","given":"Qian"},{"family":"Camburn","given":"Bradley"},{"family":"Sockalingam","given":"Nachamma"},{"family":"Poon","given":"King Wang"}],"accessed":{"date-parts":[["2025",12,22]]},"issued":{"date-parts":[["2025",10,22]]}}}],"schema":"https://github.com/citation-style-language/schema/raw/master/csl-citation.json"} </w:instrText>
      </w:r>
      <w:r>
        <w:rPr>
          <w:rFonts w:hint="eastAsia" w:ascii="Times New Roman" w:hAnsi="Times New Roman" w:eastAsia="宋体" w:cs="Times New Roman"/>
          <w:snapToGrid/>
          <w:color w:val="auto"/>
          <w:sz w:val="20"/>
          <w:szCs w:val="20"/>
          <w:lang w:eastAsia="zh-CN"/>
        </w:rPr>
        <w:fldChar w:fldCharType="separate"/>
      </w:r>
      <w:r>
        <w:rPr>
          <w:rFonts w:hint="eastAsia" w:ascii="Times New Roman" w:hAnsi="Times New Roman" w:eastAsia="宋体" w:cs="Times New Roman"/>
          <w:snapToGrid/>
          <w:color w:val="auto"/>
          <w:sz w:val="20"/>
          <w:szCs w:val="20"/>
          <w:vertAlign w:val="superscript"/>
          <w:lang w:eastAsia="zh-CN"/>
        </w:rPr>
        <w:t>42</w:t>
      </w:r>
      <w:r>
        <w:rPr>
          <w:rFonts w:hint="eastAsia" w:ascii="Times New Roman" w:hAnsi="Times New Roman" w:eastAsia="宋体" w:cs="Times New Roman"/>
          <w:snapToGrid/>
          <w:color w:val="auto"/>
          <w:sz w:val="20"/>
          <w:szCs w:val="20"/>
          <w:lang w:eastAsia="zh-CN"/>
        </w:rPr>
        <w:fldChar w:fldCharType="end"/>
      </w:r>
      <w:r>
        <w:rPr>
          <w:rFonts w:hint="eastAsia" w:ascii="Times New Roman" w:hAnsi="Times New Roman" w:eastAsia="宋体" w:cs="Times New Roman"/>
          <w:snapToGrid/>
          <w:color w:val="auto"/>
          <w:sz w:val="20"/>
          <w:szCs w:val="20"/>
          <w:lang w:eastAsia="zh-CN"/>
        </w:rPr>
        <w:t xml:space="preserve">. However, design learning is cumulative: skills build up, aesthetic sensibilities become more exalted and students internalize professional judgment with time. We cannot longitudinally follow a group of courses or stages of early career and track how exposure to </w:t>
      </w:r>
      <w:r>
        <w:rPr>
          <w:rFonts w:hint="eastAsia" w:ascii="Times New Roman" w:hAnsi="Times New Roman" w:eastAsia="宋体" w:cs="Times New Roman"/>
          <w:snapToGrid/>
          <w:color w:val="auto"/>
          <w:sz w:val="20"/>
          <w:szCs w:val="20"/>
          <w:lang w:val="en-US" w:eastAsia="zh-CN"/>
        </w:rPr>
        <w:t>Gen</w:t>
      </w:r>
      <w:r>
        <w:rPr>
          <w:rFonts w:hint="eastAsia" w:ascii="Times New Roman" w:hAnsi="Times New Roman" w:eastAsia="宋体" w:cs="Times New Roman"/>
          <w:snapToGrid/>
          <w:color w:val="auto"/>
          <w:sz w:val="20"/>
          <w:szCs w:val="20"/>
          <w:lang w:eastAsia="zh-CN"/>
        </w:rPr>
        <w:t>AI at an early age scaffolds or retards this developmental pattern</w:t>
      </w:r>
      <w:r>
        <w:rPr>
          <w:rFonts w:hint="eastAsia" w:ascii="Times New Roman" w:hAnsi="Times New Roman" w:eastAsia="宋体" w:cs="Times New Roman"/>
          <w:snapToGrid/>
          <w:color w:val="auto"/>
          <w:sz w:val="20"/>
          <w:szCs w:val="20"/>
          <w:lang w:eastAsia="zh-CN"/>
        </w:rPr>
        <w:fldChar w:fldCharType="begin"/>
      </w:r>
      <w:r>
        <w:rPr>
          <w:rFonts w:hint="eastAsia" w:ascii="Times New Roman" w:hAnsi="Times New Roman" w:eastAsia="宋体" w:cs="Times New Roman"/>
          <w:snapToGrid/>
          <w:color w:val="auto"/>
          <w:sz w:val="20"/>
          <w:szCs w:val="20"/>
          <w:lang w:eastAsia="zh-CN"/>
        </w:rPr>
        <w:instrText xml:space="preserve"> ADDIN ZOTERO_ITEM CSL_CITATION {"citationID":"q2M8E06H","properties":{"formattedCitation":"&lt;sup&gt;43&lt;/sup&gt;","plainCitation":"43","noteIndex":0},"citationItems":[{"id":1155,"uris":["http://zotero.org/groups/6329368/items/3YE5TJZG"],"itemData":{"id":1155,"type":"article-journal","abstract":"The rapid integration of artificial intelligence across industries necessitates systematic AI literacy development in higher vocational education to prepare students for AI-driven professional environments. This study develops and validates a comprehensive competency-based ladder development pathway specifically designed to enhance AI literacy among vocational students. The research employs a mixed-methods approach combining theoretical framework construction, empirical investigation, and practical implementation validation. The three-tier pathway model integrates foundational cognitive, skills application, and comprehensive innovation layers to address diverse learning needs while maintaining progression standards. Through empirical investigation involving 2850 students across 15 institutions, the study identifies distinct learner profiles and competency deficits, informing personalized development strategies. The validation experiment with 420 participants demonstrates significant improvements across all competency dimensions, with overall AI literacy gains of 56.0% and sustained retention rates exceeding 85% at six-month follow-up. The innovative pedagogical approaches incorporate project-driven learning, experiential methodologies, and hybrid delivery models to optimize competency development. The comprehensive evaluation framework provides robust assessment tools that balance formative and summative approaches while maintaining alignment with industry standards. Results indicate that students in the ladder pathway intervention achieved 34.7% higher cognitive assessment scores, 42.3% superior performance on skills application tasks, and 28.9% better innovation competency outcomes compared to traditional instruction. This research contributes to the theoretical understanding of competency-based AI education while providing practical implementation guidance for enhancing workforce readiness in the artificial intelligence era.","container-title":"Scientific Reports","DOI":"10.1038/s41598-025-15202-6","ISSN":"2045-2322","issue":"1","journalAbbreviation":"Sci Rep","language":"en","license":"2025 The Author(s)","page":"29898","publisher":"Nature Publishing Group","source":"www.nature.com","title":"Development and validation of a competency-based ladder pathway for AI literacy enhancement among higher vocational students","volume":"15","author":[{"family":"Hong","given":"Litian"}],"issued":{"date-parts":[["2025",8,14]]}}}],"schema":"https://github.com/citation-style-language/schema/raw/master/csl-citation.json"} </w:instrText>
      </w:r>
      <w:r>
        <w:rPr>
          <w:rFonts w:hint="eastAsia" w:ascii="Times New Roman" w:hAnsi="Times New Roman" w:eastAsia="宋体" w:cs="Times New Roman"/>
          <w:snapToGrid/>
          <w:color w:val="auto"/>
          <w:sz w:val="20"/>
          <w:szCs w:val="20"/>
          <w:lang w:eastAsia="zh-CN"/>
        </w:rPr>
        <w:fldChar w:fldCharType="separate"/>
      </w:r>
      <w:r>
        <w:rPr>
          <w:rFonts w:hint="eastAsia" w:ascii="Times New Roman" w:hAnsi="Times New Roman" w:eastAsia="宋体" w:cs="Times New Roman"/>
          <w:snapToGrid/>
          <w:color w:val="auto"/>
          <w:sz w:val="20"/>
          <w:szCs w:val="20"/>
          <w:vertAlign w:val="superscript"/>
          <w:lang w:eastAsia="zh-CN"/>
        </w:rPr>
        <w:t>43</w:t>
      </w:r>
      <w:r>
        <w:rPr>
          <w:rFonts w:hint="eastAsia" w:ascii="Times New Roman" w:hAnsi="Times New Roman" w:eastAsia="宋体" w:cs="Times New Roman"/>
          <w:snapToGrid/>
          <w:color w:val="auto"/>
          <w:sz w:val="20"/>
          <w:szCs w:val="20"/>
          <w:lang w:eastAsia="zh-CN"/>
        </w:rPr>
        <w:fldChar w:fldCharType="end"/>
      </w:r>
      <w:r>
        <w:rPr>
          <w:rFonts w:hint="eastAsia" w:ascii="Times New Roman" w:hAnsi="Times New Roman" w:eastAsia="宋体" w:cs="Times New Roman"/>
          <w:snapToGrid/>
          <w:color w:val="auto"/>
          <w:sz w:val="20"/>
          <w:szCs w:val="20"/>
          <w:lang w:eastAsia="zh-CN"/>
        </w:rPr>
        <w:t>.</w:t>
      </w:r>
      <w:r>
        <w:rPr>
          <w:rFonts w:hint="default" w:ascii="Times New Roman" w:hAnsi="Times New Roman" w:eastAsia="宋体" w:cs="Times New Roman"/>
          <w:snapToGrid/>
          <w:color w:val="auto"/>
          <w:sz w:val="20"/>
          <w:szCs w:val="20"/>
          <w:lang w:eastAsia="zh-CN"/>
        </w:rPr>
        <w:t xml:space="preserve"> Most existing studies capture snapshots: a semester-long course, a single project, sometimes just a workshop or brief intervention</w:t>
      </w:r>
      <w:r>
        <w:rPr>
          <w:rFonts w:hint="default" w:ascii="Times New Roman" w:hAnsi="Times New Roman" w:eastAsia="宋体" w:cs="Times New Roman"/>
          <w:snapToGrid/>
          <w:color w:val="auto"/>
          <w:sz w:val="20"/>
          <w:szCs w:val="20"/>
          <w:lang w:eastAsia="zh-CN"/>
        </w:rPr>
        <w:fldChar w:fldCharType="begin"/>
      </w:r>
      <w:r>
        <w:rPr>
          <w:rFonts w:hint="eastAsia" w:ascii="Times New Roman" w:hAnsi="Times New Roman" w:eastAsia="宋体" w:cs="Times New Roman"/>
          <w:snapToGrid/>
          <w:color w:val="auto"/>
          <w:sz w:val="20"/>
          <w:szCs w:val="20"/>
          <w:lang w:eastAsia="zh-CN"/>
        </w:rPr>
        <w:instrText xml:space="preserve"> ADDIN ZOTERO_ITEM CSL_CITATION {"citationID":"eOZezpYl","properties":{"formattedCitation":"&lt;sup&gt;39&lt;/sup&gt;","plainCitation":"39","noteIndex":0},"citationItems":[{"id":1266,"uris":["http://zotero.org/groups/6329368/items/WUPNTMMN"],"itemData":{"id":1266,"type":"article-journal","abstract":"Socially shared regulation of learning (SSRL) is a crucial process for groups of learners to successfully collaborate. Detecting and supporting SSRL is a challenge, especially in real time, but hybrid intelligence approaches such as Artificial Intelligence (AI) agents may make this possible. Leveraging the concept of trigger events which invite SSRL, we present a design of an AI agent, MAI, which can detect SSRL and prompt students to raise their group-level metacognitive awareness with the aim of facilitating SSRL. We present the methodology we used to design MAI, drawing on the Echeloned DSR (eDSR) Methodological Framework and making use of the Wizard of Oz prototyping paradigm. We likewise present empirical results evaluating our initial prototype of MAI, using lexical alignment between speakers as a quantitative measure of the effect of MAI's prompts on facilitating SSRL, the Partner Model Questionnaire as a quantitative measure of perceptions of MAI, and interviews as qualitative context for these perceptions. We found that the first prototype of MAI did not facilitate SSRL as hoped, possibly owing to mixed perceptions of MAI's reliability and lack of clarity about MAI's role in the collaborative learning task. From these findings, we offer revised prompts for the next iteration of prototyping this agent and a refined set of design requirements for future development of metacognitive AI agents for supporting SSRL. Practitioner notes What is already known about this topic Socially Shared Regulation of Learning (SSRL) is recognized as a critical component for the success of collaborative learning, emphasizing the importance of group-level regulatory processes in achieving shared goals, enacting strategies and monitoring learning progress. Supporting SSRL in face-to-face collaborative learning environments presents challenges, including the complexity of coordinating and synchronizing individual contributions and regulatory actions within a group context. What this paper adds This paper introduces the design of Metacognitive Artificial Intelligence (MAI), a novel AI system aimed at enhancing Human-AI collaboration for supporting and augmenting SSRL processes. Through empirical research, the study offers lessons learned and design considerations for developing artificial agents on facilitating and enhancing SSRL among learners, demonstrating how AI can play a pivotal role in collaborative learning environments. The findings highlight the critical importance of multidisciplinary knowledge in the design of multi-agent interfaces (MAI) that provide real-time, adaptive support for group metacognitive processes and decision-making. Implications for practice and/or policy Educational technologists can utilize the proposed design principles in the development and integration of MAI tools to enhance SSRL. Educators can incorporate the principles of MAI and our relevant findings into their teaching strategies to actively foster and support socially shared regulation of learning among students. Policymakers should consider revising educational frameworks to include the use of AI technologies that support SSRL strategies in collaborative learning.","container-title":"British Journal of Educational Technology","DOI":"10.1111/bjet.13534","ISSN":"1467-8535","issue":"2","language":"en","license":"© 2024 The Author(s). British Journal of Educational Technology published by John Wiley &amp; Sons Ltd on behalf of British Educational Research Association.","note":"_eprint: https://bera-journals.onlinelibrary.wiley.com/doi/pdf/10.1111/bjet.13534","page":"712-733","source":"Wiley Online Library","title":"Human-AI collaboration: Designing artificial agents to facilitate socially shared regulation among learners","title-short":"Human-AI collaboration","volume":"56","author":[{"family":"Edwards","given":"Justin"},{"family":"Nguyen","given":"Andy"},{"family":"Lämsä","given":"Joni"},{"family":"Sobocinski","given":"Marta"},{"family":"Whitehead","given":"Ridwan"},{"family":"Dang","given":"Belle"},{"family":"Roberts","given":"Anni-Sofia"},{"family":"Järvelä","given":"Sanna"}],"issued":{"date-parts":[["2025"]]}}}],"schema":"https://github.com/citation-style-language/schema/raw/master/csl-citation.json"} </w:instrText>
      </w:r>
      <w:r>
        <w:rPr>
          <w:rFonts w:hint="default" w:ascii="Times New Roman" w:hAnsi="Times New Roman" w:eastAsia="宋体" w:cs="Times New Roman"/>
          <w:snapToGrid/>
          <w:color w:val="auto"/>
          <w:sz w:val="20"/>
          <w:szCs w:val="20"/>
          <w:lang w:eastAsia="zh-CN"/>
        </w:rPr>
        <w:fldChar w:fldCharType="separate"/>
      </w:r>
      <w:r>
        <w:rPr>
          <w:rFonts w:hint="eastAsia" w:ascii="Times New Roman" w:hAnsi="Times New Roman" w:eastAsia="宋体" w:cs="Times New Roman"/>
          <w:snapToGrid/>
          <w:color w:val="auto"/>
          <w:sz w:val="20"/>
          <w:szCs w:val="20"/>
          <w:vertAlign w:val="superscript"/>
          <w:lang w:eastAsia="zh-CN"/>
        </w:rPr>
        <w:t>39</w:t>
      </w:r>
      <w:r>
        <w:rPr>
          <w:rFonts w:hint="default" w:ascii="Times New Roman" w:hAnsi="Times New Roman" w:eastAsia="宋体" w:cs="Times New Roman"/>
          <w:snapToGrid/>
          <w:color w:val="auto"/>
          <w:sz w:val="20"/>
          <w:szCs w:val="20"/>
          <w:lang w:eastAsia="zh-CN"/>
        </w:rPr>
        <w:fldChar w:fldCharType="end"/>
      </w:r>
      <w:r>
        <w:rPr>
          <w:rFonts w:hint="default" w:ascii="Times New Roman" w:hAnsi="Times New Roman" w:eastAsia="宋体" w:cs="Times New Roman"/>
          <w:snapToGrid/>
          <w:color w:val="auto"/>
          <w:sz w:val="20"/>
          <w:szCs w:val="20"/>
          <w:lang w:eastAsia="zh-CN"/>
        </w:rPr>
        <w:t xml:space="preserve">. But learning design is inherently developmental. Skills build cumulatively, aesthetic sensibilities develop over time, and students gradually internalize professional judgment. Without tracking learners over extended periods, ideally across multiple courses or even into the early stages of their careers, we cannot determine whether early exposure to </w:t>
      </w:r>
      <w:r>
        <w:rPr>
          <w:rFonts w:hint="eastAsia" w:ascii="Times New Roman" w:hAnsi="Times New Roman" w:eastAsia="宋体" w:cs="Times New Roman"/>
          <w:snapToGrid/>
          <w:color w:val="auto"/>
          <w:sz w:val="20"/>
          <w:szCs w:val="20"/>
          <w:lang w:val="en-US" w:eastAsia="zh-CN"/>
        </w:rPr>
        <w:t>Gen</w:t>
      </w:r>
      <w:r>
        <w:rPr>
          <w:rFonts w:hint="default" w:ascii="Times New Roman" w:hAnsi="Times New Roman" w:eastAsia="宋体" w:cs="Times New Roman"/>
          <w:snapToGrid/>
          <w:color w:val="auto"/>
          <w:sz w:val="20"/>
          <w:szCs w:val="20"/>
          <w:lang w:eastAsia="zh-CN"/>
        </w:rPr>
        <w:t>AI supports or hinders this developmental trajectory</w:t>
      </w:r>
      <w:r>
        <w:rPr>
          <w:rFonts w:hint="default" w:ascii="Times New Roman" w:hAnsi="Times New Roman" w:eastAsia="宋体" w:cs="Times New Roman"/>
          <w:snapToGrid/>
          <w:color w:val="auto"/>
          <w:sz w:val="20"/>
          <w:szCs w:val="20"/>
          <w:lang w:eastAsia="zh-CN"/>
        </w:rPr>
        <w:fldChar w:fldCharType="begin"/>
      </w:r>
      <w:r>
        <w:rPr>
          <w:rFonts w:hint="eastAsia" w:ascii="Times New Roman" w:hAnsi="Times New Roman" w:eastAsia="宋体" w:cs="Times New Roman"/>
          <w:snapToGrid/>
          <w:color w:val="auto"/>
          <w:sz w:val="20"/>
          <w:szCs w:val="20"/>
          <w:lang w:eastAsia="zh-CN"/>
        </w:rPr>
        <w:instrText xml:space="preserve"> ADDIN ZOTERO_ITEM CSL_CITATION {"citationID":"EaNREoPD","properties":{"formattedCitation":"&lt;sup&gt;43&lt;/sup&gt;","plainCitation":"43","noteIndex":0},"citationItems":[{"id":1155,"uris":["http://zotero.org/groups/6329368/items/3YE5TJZG"],"itemData":{"id":1155,"type":"article-journal","abstract":"The rapid integration of artificial intelligence across industries necessitates systematic AI literacy development in higher vocational education to prepare students for AI-driven professional environments. This study develops and validates a comprehensive competency-based ladder development pathway specifically designed to enhance AI literacy among vocational students. The research employs a mixed-methods approach combining theoretical framework construction, empirical investigation, and practical implementation validation. The three-tier pathway model integrates foundational cognitive, skills application, and comprehensive innovation layers to address diverse learning needs while maintaining progression standards. Through empirical investigation involving 2850 students across 15 institutions, the study identifies distinct learner profiles and competency deficits, informing personalized development strategies. The validation experiment with 420 participants demonstrates significant improvements across all competency dimensions, with overall AI literacy gains of 56.0% and sustained retention rates exceeding 85% at six-month follow-up. The innovative pedagogical approaches incorporate project-driven learning, experiential methodologies, and hybrid delivery models to optimize competency development. The comprehensive evaluation framework provides robust assessment tools that balance formative and summative approaches while maintaining alignment with industry standards. Results indicate that students in the ladder pathway intervention achieved 34.7% higher cognitive assessment scores, 42.3% superior performance on skills application tasks, and 28.9% better innovation competency outcomes compared to traditional instruction. This research contributes to the theoretical understanding of competency-based AI education while providing practical implementation guidance for enhancing workforce readiness in the artificial intelligence era.","container-title":"Scientific Reports","DOI":"10.1038/s41598-025-15202-6","ISSN":"2045-2322","issue":"1","journalAbbreviation":"Sci Rep","language":"en","license":"2025 The Author(s)","page":"29898","publisher":"Nature Publishing Group","source":"www.nature.com","title":"Development and validation of a competency-based ladder pathway for AI literacy enhancement among higher vocational students","volume":"15","author":[{"family":"Hong","given":"Litian"}],"issued":{"date-parts":[["2025",8,14]]}}}],"schema":"https://github.com/citation-style-language/schema/raw/master/csl-citation.json"} </w:instrText>
      </w:r>
      <w:r>
        <w:rPr>
          <w:rFonts w:hint="default" w:ascii="Times New Roman" w:hAnsi="Times New Roman" w:eastAsia="宋体" w:cs="Times New Roman"/>
          <w:snapToGrid/>
          <w:color w:val="auto"/>
          <w:sz w:val="20"/>
          <w:szCs w:val="20"/>
          <w:lang w:eastAsia="zh-CN"/>
        </w:rPr>
        <w:fldChar w:fldCharType="separate"/>
      </w:r>
      <w:r>
        <w:rPr>
          <w:rFonts w:hint="eastAsia" w:ascii="Times New Roman" w:hAnsi="Times New Roman" w:eastAsia="宋体" w:cs="Times New Roman"/>
          <w:snapToGrid/>
          <w:color w:val="auto"/>
          <w:sz w:val="20"/>
          <w:szCs w:val="20"/>
          <w:vertAlign w:val="superscript"/>
          <w:lang w:eastAsia="zh-CN"/>
        </w:rPr>
        <w:t>43</w:t>
      </w:r>
      <w:r>
        <w:rPr>
          <w:rFonts w:hint="default" w:ascii="Times New Roman" w:hAnsi="Times New Roman" w:eastAsia="宋体" w:cs="Times New Roman"/>
          <w:snapToGrid/>
          <w:color w:val="auto"/>
          <w:sz w:val="20"/>
          <w:szCs w:val="20"/>
          <w:lang w:eastAsia="zh-CN"/>
        </w:rPr>
        <w:fldChar w:fldCharType="end"/>
      </w:r>
      <w:r>
        <w:rPr>
          <w:rFonts w:hint="default" w:ascii="Times New Roman" w:hAnsi="Times New Roman" w:eastAsia="宋体" w:cs="Times New Roman"/>
          <w:snapToGrid/>
          <w:color w:val="auto"/>
          <w:sz w:val="20"/>
          <w:szCs w:val="20"/>
          <w:lang w:eastAsia="zh-CN"/>
        </w:rPr>
        <w:t>.</w:t>
      </w:r>
    </w:p>
    <w:p w14:paraId="07F70913">
      <w:pPr>
        <w:pStyle w:val="6"/>
        <w:snapToGrid/>
        <w:spacing w:before="55" w:line="480" w:lineRule="auto"/>
        <w:contextualSpacing/>
        <w:jc w:val="both"/>
        <w:outlineLvl w:val="2"/>
        <w:rPr>
          <w:rFonts w:ascii="Times New Roman" w:hAnsi="Times New Roman" w:eastAsia="宋体" w:cs="Times New Roman"/>
          <w:b/>
          <w:bCs/>
          <w:snapToGrid/>
          <w:sz w:val="20"/>
          <w:szCs w:val="20"/>
          <w:lang w:val="zh-CN" w:eastAsia="zh-CN" w:bidi="ar-SA"/>
        </w:rPr>
      </w:pPr>
      <w:r>
        <w:rPr>
          <w:rFonts w:ascii="Times New Roman" w:hAnsi="Times New Roman" w:eastAsia="宋体" w:cs="Times New Roman"/>
          <w:b/>
          <w:bCs/>
          <w:snapToGrid/>
          <w:sz w:val="20"/>
          <w:szCs w:val="20"/>
          <w:lang w:val="zh-CN" w:eastAsia="zh-CN" w:bidi="ar-SA"/>
        </w:rPr>
        <w:t>Additional Gaps</w:t>
      </w:r>
    </w:p>
    <w:p w14:paraId="0A1D9835">
      <w:pPr>
        <w:kinsoku/>
        <w:adjustRightInd/>
        <w:snapToGrid/>
        <w:jc w:val="both"/>
        <w:textAlignment w:val="auto"/>
        <w:outlineLvl w:val="1"/>
        <w:rPr>
          <w:rFonts w:hint="eastAsia" w:ascii="Times New Roman" w:hAnsi="Times New Roman" w:eastAsia="宋体" w:cs="Times New Roman"/>
          <w:snapToGrid/>
          <w:color w:val="auto"/>
          <w:sz w:val="20"/>
          <w:szCs w:val="20"/>
          <w:lang w:val="zh-CN" w:eastAsia="zh-CN"/>
        </w:rPr>
      </w:pPr>
      <w:r>
        <w:rPr>
          <w:rFonts w:hint="eastAsia" w:ascii="Times New Roman" w:hAnsi="Times New Roman" w:eastAsia="宋体" w:cs="Times New Roman"/>
          <w:snapToGrid/>
          <w:color w:val="auto"/>
          <w:sz w:val="20"/>
          <w:szCs w:val="20"/>
          <w:lang w:val="zh-CN" w:eastAsia="zh-CN"/>
        </w:rPr>
        <w:t>Five articles list the gap areas concerning discipline-specific evidence and influences of creative processes (</w:t>
      </w:r>
      <w:r>
        <w:rPr>
          <w:rFonts w:hint="default" w:ascii="Times New Roman" w:hAnsi="Times New Roman" w:eastAsia="宋体" w:cs="Times New Roman"/>
          <w:snapToGrid/>
          <w:color w:val="auto"/>
          <w:sz w:val="20"/>
          <w:szCs w:val="20"/>
          <w:lang w:eastAsia="zh-CN"/>
        </w:rPr>
        <w:t>as shown in the</w:t>
      </w:r>
      <w:r>
        <w:rPr>
          <w:rFonts w:hint="eastAsia" w:ascii="Times New Roman" w:hAnsi="Times New Roman" w:eastAsia="宋体" w:cs="Times New Roman"/>
          <w:snapToGrid/>
          <w:color w:val="auto"/>
          <w:sz w:val="20"/>
          <w:szCs w:val="20"/>
          <w:lang w:val="en-US" w:eastAsia="zh-CN"/>
        </w:rPr>
        <w:t xml:space="preserve"> </w:t>
      </w:r>
      <w:r>
        <w:rPr>
          <w:rFonts w:hint="eastAsia" w:ascii="Times New Roman" w:hAnsi="Times New Roman" w:eastAsia="宋体" w:cs="Times New Roman"/>
          <w:snapToGrid/>
          <w:color w:val="auto"/>
          <w:sz w:val="20"/>
          <w:szCs w:val="20"/>
          <w:lang w:val="zh-CN" w:eastAsia="zh-CN"/>
        </w:rPr>
        <w:t xml:space="preserve">Table 3). Systems based on </w:t>
      </w:r>
      <w:r>
        <w:rPr>
          <w:rFonts w:hint="eastAsia" w:ascii="Times New Roman" w:hAnsi="Times New Roman" w:eastAsia="宋体" w:cs="Times New Roman"/>
          <w:snapToGrid/>
          <w:color w:val="auto"/>
          <w:sz w:val="20"/>
          <w:szCs w:val="20"/>
          <w:lang w:val="en-US" w:eastAsia="zh-CN"/>
        </w:rPr>
        <w:t>Gen</w:t>
      </w:r>
      <w:r>
        <w:rPr>
          <w:rFonts w:hint="eastAsia" w:ascii="Times New Roman" w:hAnsi="Times New Roman" w:eastAsia="宋体" w:cs="Times New Roman"/>
          <w:snapToGrid/>
          <w:color w:val="auto"/>
          <w:sz w:val="20"/>
          <w:szCs w:val="20"/>
          <w:lang w:val="zh-CN" w:eastAsia="zh-CN"/>
        </w:rPr>
        <w:t>AI might fail to identify specific needs of a specific design project</w:t>
      </w:r>
      <w:r>
        <w:rPr>
          <w:rFonts w:hint="eastAsia" w:ascii="Times New Roman" w:hAnsi="Times New Roman" w:eastAsia="宋体" w:cs="Times New Roman"/>
          <w:snapToGrid/>
          <w:color w:val="auto"/>
          <w:sz w:val="20"/>
          <w:szCs w:val="20"/>
          <w:lang w:val="en-US" w:eastAsia="zh-CN"/>
        </w:rPr>
        <w:t xml:space="preserve">, such as </w:t>
      </w:r>
      <w:r>
        <w:rPr>
          <w:rFonts w:hint="eastAsia" w:ascii="Times New Roman" w:hAnsi="Times New Roman" w:eastAsia="宋体" w:cs="Times New Roman"/>
          <w:snapToGrid/>
          <w:color w:val="auto"/>
          <w:sz w:val="20"/>
          <w:szCs w:val="20"/>
          <w:lang w:val="zh-CN" w:eastAsia="zh-CN"/>
        </w:rPr>
        <w:t>industrial design material limitations, cultural sensitivity in graphic design, or regulatory context in architecture</w:t>
      </w:r>
      <w:r>
        <w:rPr>
          <w:rFonts w:hint="eastAsia" w:ascii="Times New Roman" w:hAnsi="Times New Roman" w:eastAsia="宋体" w:cs="Times New Roman"/>
          <w:snapToGrid/>
          <w:color w:val="auto"/>
          <w:sz w:val="20"/>
          <w:szCs w:val="20"/>
          <w:lang w:val="zh-CN" w:eastAsia="zh-CN"/>
        </w:rPr>
        <w:fldChar w:fldCharType="begin"/>
      </w:r>
      <w:r>
        <w:rPr>
          <w:rFonts w:hint="eastAsia" w:ascii="Times New Roman" w:hAnsi="Times New Roman" w:eastAsia="宋体" w:cs="Times New Roman"/>
          <w:snapToGrid/>
          <w:color w:val="auto"/>
          <w:sz w:val="20"/>
          <w:szCs w:val="20"/>
          <w:lang w:val="zh-CN" w:eastAsia="zh-CN"/>
        </w:rPr>
        <w:instrText xml:space="preserve"> ADDIN ZOTERO_ITEM CSL_CITATION {"citationID":"BG3EzhWi","properties":{"formattedCitation":"&lt;sup&gt;44&lt;/sup&gt;","plainCitation":"44","noteIndex":0},"citationItems":[{"id":1161,"uris":["http://zotero.org/groups/6329368/items/CG3FP8EL"],"itemData":{"id":1161,"type":"article-journal","container-title":"Journal of the Operational Research Society","DOI":"10.1080/01605682.2025.2570407","ISSN":"0160-5682, 1476-9360","journalAbbreviation":"Journal of the Operational Research Society","language":"en","page":"1-27","source":"DOI.org (Crossref)","title":"The Generative Artificial Intelligence large language product design multi-model framework for manufacturing operations","author":[{"family":"Leung","given":"Eric Ka Ho"},{"family":"Balan","given":"Nandhini"},{"family":"Lee","given":"Carmen Kar Hang"},{"family":"Xie","given":"Shenghao"}],"issued":{"date-parts":[["2025",10,17]]}}}],"schema":"https://github.com/citation-style-language/schema/raw/master/csl-citation.json"} </w:instrText>
      </w:r>
      <w:r>
        <w:rPr>
          <w:rFonts w:hint="eastAsia" w:ascii="Times New Roman" w:hAnsi="Times New Roman" w:eastAsia="宋体" w:cs="Times New Roman"/>
          <w:snapToGrid/>
          <w:color w:val="auto"/>
          <w:sz w:val="20"/>
          <w:szCs w:val="20"/>
          <w:lang w:val="zh-CN" w:eastAsia="zh-CN"/>
        </w:rPr>
        <w:fldChar w:fldCharType="separate"/>
      </w:r>
      <w:r>
        <w:rPr>
          <w:rFonts w:hint="eastAsia" w:ascii="Times New Roman" w:hAnsi="Times New Roman" w:eastAsia="宋体" w:cs="Times New Roman"/>
          <w:snapToGrid/>
          <w:color w:val="auto"/>
          <w:sz w:val="20"/>
          <w:szCs w:val="20"/>
          <w:vertAlign w:val="superscript"/>
          <w:lang w:val="zh-CN" w:eastAsia="zh-CN"/>
        </w:rPr>
        <w:t>44</w:t>
      </w:r>
      <w:r>
        <w:rPr>
          <w:rFonts w:hint="eastAsia" w:ascii="Times New Roman" w:hAnsi="Times New Roman" w:eastAsia="宋体" w:cs="Times New Roman"/>
          <w:snapToGrid/>
          <w:color w:val="auto"/>
          <w:sz w:val="20"/>
          <w:szCs w:val="20"/>
          <w:lang w:val="zh-CN" w:eastAsia="zh-CN"/>
        </w:rPr>
        <w:fldChar w:fldCharType="end"/>
      </w:r>
      <w:r>
        <w:rPr>
          <w:rFonts w:hint="eastAsia" w:ascii="Times New Roman" w:hAnsi="Times New Roman" w:eastAsia="宋体" w:cs="Times New Roman"/>
          <w:snapToGrid/>
          <w:color w:val="auto"/>
          <w:sz w:val="20"/>
          <w:szCs w:val="20"/>
          <w:lang w:val="zh-CN" w:eastAsia="zh-CN"/>
        </w:rPr>
        <w:t>. Fears of homogenising the creative process are indicative of a fear that AI-generated work at an adequate level of technical skill dilutes the experimental, risk-taking actions that are necessary in a true design innovation</w:t>
      </w:r>
      <w:r>
        <w:rPr>
          <w:rFonts w:hint="eastAsia" w:ascii="Times New Roman" w:hAnsi="Times New Roman" w:eastAsia="宋体" w:cs="Times New Roman"/>
          <w:snapToGrid/>
          <w:color w:val="auto"/>
          <w:sz w:val="20"/>
          <w:szCs w:val="20"/>
          <w:lang w:val="zh-CN" w:eastAsia="zh-CN"/>
        </w:rPr>
        <w:fldChar w:fldCharType="begin"/>
      </w:r>
      <w:r>
        <w:rPr>
          <w:rFonts w:hint="eastAsia" w:ascii="Times New Roman" w:hAnsi="Times New Roman" w:eastAsia="宋体" w:cs="Times New Roman"/>
          <w:snapToGrid/>
          <w:color w:val="auto"/>
          <w:sz w:val="20"/>
          <w:szCs w:val="20"/>
          <w:lang w:val="zh-CN" w:eastAsia="zh-CN"/>
        </w:rPr>
        <w:instrText xml:space="preserve"> ADDIN ZOTERO_ITEM CSL_CITATION {"citationID":"aXdDFCwW","properties":{"formattedCitation":"&lt;sup&gt;45&lt;/sup&gt;","plainCitation":"45","noteIndex":0},"citationItems":[{"id":1272,"uris":["http://zotero.org/groups/6329368/items/6L8LZSUG"],"itemData":{"id":1272,"type":"article-journal","abstract":"INTRODUCTION\n            \n            AI-powered automation, generative algorithms, and interactive design tools are rapidly changing graphic design. Despite growing research, there is little synthesis on how AI affects creative practice and designer identity. The purpose of this study was to analyse the transformation of graphic design processes under the influence of artificial intelligence, considering the possibilities of automation, visual content generation, and optimisation of work processes.\n            \n              METHODS\n            \n            This systematic review analysed empirical, conceptual, and review research that underwent peer review and was published from 2022 to 2025 in Scopus, Web of Science, IEEE Xplore, and Google Scholar. After screening, 31 qualifying studies were included.\n            \n              RESULTS\n            \n            Outcomes encompassed documented impacts of AI on design efficiency, creativity, co-innovation, educational methodologies, ethical and legal considerations, and workforce ramifications. The Joanna Briggs Institute criteria, standardised across several study types, evaluated the risk of bias. AI tools continually enhance efficiency by automating repetitive processes like image correction and editing, allowing designers to focus more on creative endeavours. Generative approaches such as DALL-E and Midjourney have advanced concept development while eliciting concerns around stylistic uniformity and authorship. Empirical research typically had a low risk of bias, whereas conceptual and review publications displayed substantial bias owing to their dependence on secondary data. The reliability of evidence across topics was assessed as moderate, with high confidence in efficiency improvements and more inconsistent results concerning creativity, ethics, and professional adaptation.\n            \n              CONCLUSION\n            \n            Artificial intelligence is combining automation and creativity in graphic design, creating new opportunities and ethical, legal, and professional challenges. While existing data supports its ability to boost productivity and encourage creative exploration, more empirical research with greater methodological rigour is needed to understand its long-term effects on professional identity, copyright, and equitable access.","container-title":"Premier Journal of Science","DOI":"10.70389/PJS.100151","ISSN":"3049-9011","journalAbbreviation":"PJS","language":"en","source":"DOI.org (Crossref)","title":"The Impact of Artificial Intelligence on the Evolution of Graphic Design: Current Practices and Challenges","title-short":"The Impact of Artificial Intelligence on the Evolution of Graphic Design","URL":"https://premierscience.com/pjs-25-1147/","author":[{"family":"Zhou","given":"ShengDong"},{"family":"Joneuraratana","given":"Eakachat"},{"family":"Sirvesmas","given":"Veerawat"},{"family":"Jamuni","given":"Pairoj"}],"accessed":{"date-parts":[["2026",1,8]]},"issued":{"date-parts":[["2025",10,31]]}}}],"schema":"https://github.com/citation-style-language/schema/raw/master/csl-citation.json"} </w:instrText>
      </w:r>
      <w:r>
        <w:rPr>
          <w:rFonts w:hint="eastAsia" w:ascii="Times New Roman" w:hAnsi="Times New Roman" w:eastAsia="宋体" w:cs="Times New Roman"/>
          <w:snapToGrid/>
          <w:color w:val="auto"/>
          <w:sz w:val="20"/>
          <w:szCs w:val="20"/>
          <w:lang w:val="zh-CN" w:eastAsia="zh-CN"/>
        </w:rPr>
        <w:fldChar w:fldCharType="separate"/>
      </w:r>
      <w:r>
        <w:rPr>
          <w:rFonts w:hint="eastAsia" w:ascii="Times New Roman" w:hAnsi="Times New Roman" w:eastAsia="宋体" w:cs="Times New Roman"/>
          <w:snapToGrid/>
          <w:color w:val="auto"/>
          <w:sz w:val="20"/>
          <w:szCs w:val="20"/>
          <w:vertAlign w:val="superscript"/>
          <w:lang w:val="zh-CN" w:eastAsia="zh-CN"/>
        </w:rPr>
        <w:t>45</w:t>
      </w:r>
      <w:r>
        <w:rPr>
          <w:rFonts w:hint="eastAsia" w:ascii="Times New Roman" w:hAnsi="Times New Roman" w:eastAsia="宋体" w:cs="Times New Roman"/>
          <w:snapToGrid/>
          <w:color w:val="auto"/>
          <w:sz w:val="20"/>
          <w:szCs w:val="20"/>
          <w:lang w:val="zh-CN" w:eastAsia="zh-CN"/>
        </w:rPr>
        <w:fldChar w:fldCharType="end"/>
      </w:r>
      <w:r>
        <w:rPr>
          <w:rFonts w:hint="eastAsia" w:ascii="Times New Roman" w:hAnsi="Times New Roman" w:eastAsia="宋体" w:cs="Times New Roman"/>
          <w:snapToGrid/>
          <w:color w:val="auto"/>
          <w:sz w:val="20"/>
          <w:szCs w:val="20"/>
          <w:lang w:val="zh-CN" w:eastAsia="zh-CN"/>
        </w:rPr>
        <w:t>.</w:t>
      </w:r>
    </w:p>
    <w:p w14:paraId="7929A4B4">
      <w:pPr>
        <w:kinsoku/>
        <w:adjustRightInd/>
        <w:snapToGrid/>
        <w:ind w:firstLine="400" w:firstLineChars="200"/>
        <w:jc w:val="both"/>
        <w:textAlignment w:val="auto"/>
        <w:outlineLvl w:val="1"/>
        <w:rPr>
          <w:rFonts w:hint="eastAsia" w:ascii="Times New Roman" w:hAnsi="Times New Roman" w:eastAsia="宋体" w:cs="Times New Roman"/>
          <w:snapToGrid/>
          <w:color w:val="auto"/>
          <w:sz w:val="20"/>
          <w:szCs w:val="20"/>
          <w:lang w:val="zh-CN" w:eastAsia="zh-CN"/>
        </w:rPr>
      </w:pPr>
      <w:r>
        <w:rPr>
          <w:rFonts w:hint="eastAsia" w:ascii="Times New Roman" w:hAnsi="Times New Roman" w:eastAsia="宋体" w:cs="Times New Roman"/>
          <w:snapToGrid/>
          <w:color w:val="auto"/>
          <w:sz w:val="20"/>
          <w:szCs w:val="20"/>
          <w:lang w:val="zh-CN" w:eastAsia="zh-CN"/>
        </w:rPr>
        <w:t xml:space="preserve">The gaps in the experience levels of the learners, </w:t>
      </w:r>
      <w:r>
        <w:rPr>
          <w:rFonts w:hint="eastAsia" w:ascii="Times New Roman" w:hAnsi="Times New Roman" w:eastAsia="宋体" w:cs="Times New Roman"/>
          <w:snapToGrid/>
          <w:color w:val="auto"/>
          <w:sz w:val="20"/>
          <w:szCs w:val="20"/>
          <w:lang w:val="en-US" w:eastAsia="zh-CN"/>
        </w:rPr>
        <w:t>Gen</w:t>
      </w:r>
      <w:r>
        <w:rPr>
          <w:rFonts w:hint="eastAsia" w:ascii="Times New Roman" w:hAnsi="Times New Roman" w:eastAsia="宋体" w:cs="Times New Roman"/>
          <w:snapToGrid/>
          <w:color w:val="auto"/>
          <w:sz w:val="20"/>
          <w:szCs w:val="20"/>
          <w:lang w:val="zh-CN" w:eastAsia="zh-CN"/>
        </w:rPr>
        <w:t>AI literacy development, attitudinal factors, and generalisability (four studies each) were found to be moderate. Themes of lower frequencies, such as the strategies of pedagogical integration and ethical governance, are only found in three studies. This can be a sign of new awareness or lack of problematisation in the present discourse</w:t>
      </w:r>
      <w:r>
        <w:rPr>
          <w:rFonts w:hint="eastAsia" w:ascii="Times New Roman" w:hAnsi="Times New Roman" w:eastAsia="宋体" w:cs="Times New Roman"/>
          <w:snapToGrid/>
          <w:color w:val="auto"/>
          <w:sz w:val="20"/>
          <w:szCs w:val="20"/>
          <w:lang w:val="zh-CN" w:eastAsia="zh-CN"/>
        </w:rPr>
        <w:fldChar w:fldCharType="begin"/>
      </w:r>
      <w:r>
        <w:rPr>
          <w:rFonts w:hint="eastAsia" w:ascii="Times New Roman" w:hAnsi="Times New Roman" w:eastAsia="宋体" w:cs="Times New Roman"/>
          <w:snapToGrid/>
          <w:color w:val="auto"/>
          <w:sz w:val="20"/>
          <w:szCs w:val="20"/>
          <w:lang w:val="zh-CN" w:eastAsia="zh-CN"/>
        </w:rPr>
        <w:instrText xml:space="preserve"> ADDIN ZOTERO_ITEM CSL_CITATION {"citationID":"DHJuGJIS","properties":{"formattedCitation":"&lt;sup&gt;46&lt;/sup&gt;","plainCitation":"46","noteIndex":0},"citationItems":[{"id":1166,"uris":["http://zotero.org/groups/6329368/items/XL3UXWXB"],"itemData":{"id":1166,"type":"article-journal","abstract":"The rapid advancement of artificial intelligence (AI) in education necessitates a shared understanding of its intended purpose and societal implications. This paper underscores the significance of societal perspectives in AI and education, often overshadowed by technological aspects. At the same time, policy guidelines for the integration of AI technology within educational systems are playing a pivotal role in shaping the future of education. What we as society imagine AI and education to be, will in some shape or form lead the development of suggested fixes. The aim is to aid the understanding of why and how visions of learning and education are framed in relation to developments in Educational Technology (EdTech) and their introduction in education. It thereby contributes to the ongoing discussion on the integration of AI in education and its potential societal impacts.","container-title":"Policy Futures in Education","DOI":"10.1177/14782103241228900","ISSN":"1478-2103","issue":"8","language":"EN","page":"1662-1678","publisher":"SAGE Publications","source":"SAGE Journals","title":"Competing visions of artificial intelligence in education—A heuristic analysis on sociotechnical imaginaries and problematizations in policy guidelines","volume":"22","author":[{"family":"Linderoth","given":"Cornelia"},{"family":"Hultén","given":"Magnus"},{"family":"Stenliden","given":"Linnéa"}],"issued":{"date-parts":[["2024",11,1]]}}}],"schema":"https://github.com/citation-style-language/schema/raw/master/csl-citation.json"} </w:instrText>
      </w:r>
      <w:r>
        <w:rPr>
          <w:rFonts w:hint="eastAsia" w:ascii="Times New Roman" w:hAnsi="Times New Roman" w:eastAsia="宋体" w:cs="Times New Roman"/>
          <w:snapToGrid/>
          <w:color w:val="auto"/>
          <w:sz w:val="20"/>
          <w:szCs w:val="20"/>
          <w:lang w:val="zh-CN" w:eastAsia="zh-CN"/>
        </w:rPr>
        <w:fldChar w:fldCharType="separate"/>
      </w:r>
      <w:r>
        <w:rPr>
          <w:rFonts w:hint="eastAsia" w:ascii="Times New Roman" w:hAnsi="Times New Roman" w:eastAsia="宋体" w:cs="Times New Roman"/>
          <w:snapToGrid/>
          <w:color w:val="auto"/>
          <w:sz w:val="20"/>
          <w:szCs w:val="20"/>
          <w:vertAlign w:val="superscript"/>
          <w:lang w:val="zh-CN" w:eastAsia="zh-CN"/>
        </w:rPr>
        <w:t>46</w:t>
      </w:r>
      <w:r>
        <w:rPr>
          <w:rFonts w:hint="eastAsia" w:ascii="Times New Roman" w:hAnsi="Times New Roman" w:eastAsia="宋体" w:cs="Times New Roman"/>
          <w:snapToGrid/>
          <w:color w:val="auto"/>
          <w:sz w:val="20"/>
          <w:szCs w:val="20"/>
          <w:lang w:val="zh-CN" w:eastAsia="zh-CN"/>
        </w:rPr>
        <w:fldChar w:fldCharType="end"/>
      </w:r>
      <w:r>
        <w:rPr>
          <w:rFonts w:hint="eastAsia" w:ascii="Times New Roman" w:hAnsi="Times New Roman" w:eastAsia="宋体" w:cs="Times New Roman"/>
          <w:snapToGrid/>
          <w:color w:val="auto"/>
          <w:sz w:val="20"/>
          <w:szCs w:val="20"/>
          <w:lang w:val="zh-CN" w:eastAsia="zh-CN"/>
        </w:rPr>
        <w:t>.</w:t>
      </w:r>
    </w:p>
    <w:p w14:paraId="701B2566">
      <w:pPr>
        <w:snapToGrid/>
        <w:spacing w:line="480" w:lineRule="auto"/>
        <w:contextualSpacing/>
        <w:jc w:val="both"/>
        <w:rPr>
          <w:rFonts w:ascii="Times New Roman" w:hAnsi="Times New Roman" w:cs="Times New Roman"/>
          <w:b/>
          <w:bCs/>
          <w:sz w:val="24"/>
          <w:szCs w:val="24"/>
        </w:rPr>
      </w:pPr>
      <w:r>
        <w:rPr>
          <w:rFonts w:ascii="Times New Roman" w:hAnsi="Times New Roman" w:eastAsia="宋体" w:cs="Times New Roman"/>
          <w:b/>
          <w:bCs/>
          <w:snapToGrid/>
          <w:sz w:val="20"/>
          <w:szCs w:val="20"/>
          <w:lang w:eastAsia="zh-CN"/>
        </w:rPr>
        <w:t>Gap Sensitivity to Context</w:t>
      </w:r>
    </w:p>
    <w:p w14:paraId="4352119A">
      <w:pPr>
        <w:kinsoku/>
        <w:adjustRightInd/>
        <w:snapToGrid/>
        <w:jc w:val="both"/>
        <w:textAlignment w:val="auto"/>
        <w:outlineLvl w:val="1"/>
        <w:rPr>
          <w:rFonts w:hint="eastAsia" w:ascii="Times New Roman" w:hAnsi="Times New Roman" w:eastAsia="宋体" w:cs="Times New Roman"/>
          <w:snapToGrid/>
          <w:color w:val="auto"/>
          <w:sz w:val="20"/>
          <w:szCs w:val="20"/>
          <w:lang w:eastAsia="zh-CN"/>
        </w:rPr>
      </w:pPr>
      <w:r>
        <w:rPr>
          <w:rFonts w:hint="eastAsia" w:ascii="Times New Roman" w:hAnsi="Times New Roman" w:eastAsia="宋体" w:cs="Times New Roman"/>
          <w:snapToGrid/>
          <w:color w:val="auto"/>
          <w:sz w:val="20"/>
          <w:szCs w:val="20"/>
        </w:rPr>
        <w:t>We compared the exposure types in the students and the gaps reported using Kendall t (</w:t>
      </w:r>
      <w:r>
        <w:rPr>
          <w:rFonts w:hint="default" w:ascii="Times New Roman" w:hAnsi="Times New Roman" w:eastAsia="宋体" w:cs="Times New Roman"/>
          <w:snapToGrid/>
          <w:color w:val="auto"/>
          <w:sz w:val="20"/>
          <w:szCs w:val="20"/>
          <w:lang w:eastAsia="zh-CN"/>
        </w:rPr>
        <w:t>as shown in the</w:t>
      </w:r>
      <w:r>
        <w:rPr>
          <w:rFonts w:hint="eastAsia" w:ascii="Times New Roman" w:hAnsi="Times New Roman" w:eastAsia="宋体" w:cs="Times New Roman"/>
          <w:snapToGrid/>
          <w:color w:val="auto"/>
          <w:sz w:val="20"/>
          <w:szCs w:val="20"/>
          <w:lang w:val="en-US" w:eastAsia="zh-CN"/>
        </w:rPr>
        <w:t xml:space="preserve"> </w:t>
      </w:r>
      <w:r>
        <w:rPr>
          <w:rFonts w:hint="eastAsia" w:ascii="Times New Roman" w:hAnsi="Times New Roman" w:eastAsia="宋体" w:cs="Times New Roman"/>
          <w:snapToGrid/>
          <w:color w:val="auto"/>
          <w:sz w:val="20"/>
          <w:szCs w:val="20"/>
        </w:rPr>
        <w:t xml:space="preserve">Table 4). The vast majority of the gaps are independent of context, whereas others are highly sensitive. The issues of ethics and governance, such as the one of students, where the outcome of their </w:t>
      </w:r>
      <w:r>
        <w:rPr>
          <w:rFonts w:hint="eastAsia" w:ascii="Times New Roman" w:hAnsi="Times New Roman" w:eastAsia="宋体" w:cs="Times New Roman"/>
          <w:snapToGrid/>
          <w:color w:val="auto"/>
          <w:sz w:val="20"/>
          <w:szCs w:val="20"/>
          <w:lang w:val="en-US" w:eastAsia="zh-CN"/>
        </w:rPr>
        <w:t>Gen</w:t>
      </w:r>
      <w:r>
        <w:rPr>
          <w:rFonts w:hint="eastAsia" w:ascii="Times New Roman" w:hAnsi="Times New Roman" w:eastAsia="宋体" w:cs="Times New Roman"/>
          <w:snapToGrid/>
          <w:color w:val="auto"/>
          <w:sz w:val="20"/>
          <w:szCs w:val="20"/>
        </w:rPr>
        <w:t>AI work has a real-world impact (</w:t>
      </w:r>
      <w:r>
        <w:rPr>
          <w:rFonts w:hint="default" w:ascii="Times New Roman" w:hAnsi="Times New Roman" w:eastAsia="宋体" w:cs="Times New Roman"/>
          <w:snapToGrid/>
          <w:color w:val="auto"/>
          <w:sz w:val="20"/>
          <w:szCs w:val="20"/>
          <w:lang w:eastAsia="zh-CN"/>
        </w:rPr>
        <w:t>τ</w:t>
      </w:r>
      <w:r>
        <w:rPr>
          <w:rFonts w:hint="eastAsia" w:ascii="Times New Roman" w:hAnsi="Times New Roman" w:eastAsia="宋体" w:cs="Times New Roman"/>
          <w:snapToGrid/>
          <w:color w:val="auto"/>
          <w:sz w:val="20"/>
          <w:szCs w:val="20"/>
        </w:rPr>
        <w:t xml:space="preserve"> = 0.33), can be seen as illustrations of the influence of the stakes on the attention of the researchers. Gaps on the levels of learner experience, on the other hand, are associated with adverse exposure context (</w:t>
      </w:r>
      <w:r>
        <w:rPr>
          <w:rFonts w:hint="default" w:ascii="Times New Roman" w:hAnsi="Times New Roman" w:eastAsia="宋体" w:cs="Times New Roman"/>
          <w:snapToGrid/>
          <w:color w:val="auto"/>
          <w:sz w:val="20"/>
          <w:szCs w:val="20"/>
          <w:lang w:eastAsia="zh-CN"/>
        </w:rPr>
        <w:t>τ</w:t>
      </w:r>
      <w:r>
        <w:rPr>
          <w:rFonts w:hint="eastAsia" w:ascii="Times New Roman" w:hAnsi="Times New Roman" w:eastAsia="宋体" w:cs="Times New Roman"/>
          <w:snapToGrid/>
          <w:color w:val="auto"/>
          <w:sz w:val="20"/>
          <w:szCs w:val="20"/>
        </w:rPr>
        <w:t xml:space="preserve"> = </w:t>
      </w:r>
      <w:r>
        <w:rPr>
          <w:rFonts w:hint="eastAsia" w:ascii="Times New Roman" w:hAnsi="Times New Roman" w:eastAsia="宋体" w:cs="Times New Roman"/>
          <w:snapToGrid/>
          <w:color w:val="auto"/>
          <w:sz w:val="20"/>
          <w:szCs w:val="20"/>
          <w:lang w:val="en-US" w:eastAsia="zh-CN"/>
        </w:rPr>
        <w:t>-</w:t>
      </w:r>
      <w:r>
        <w:rPr>
          <w:rFonts w:hint="eastAsia" w:ascii="Times New Roman" w:hAnsi="Times New Roman" w:eastAsia="宋体" w:cs="Times New Roman"/>
          <w:snapToGrid/>
          <w:color w:val="auto"/>
          <w:sz w:val="20"/>
          <w:szCs w:val="20"/>
        </w:rPr>
        <w:t>0.33), which implies that low-level courses provoked the concern about the risks of the development, whereas high-level courses presuppose self-regulation. A moderate positive correlation (</w:t>
      </w:r>
      <w:r>
        <w:rPr>
          <w:rFonts w:hint="default" w:ascii="Times New Roman" w:hAnsi="Times New Roman" w:eastAsia="宋体" w:cs="Times New Roman"/>
          <w:snapToGrid/>
          <w:color w:val="auto"/>
          <w:sz w:val="20"/>
          <w:szCs w:val="20"/>
          <w:lang w:eastAsia="zh-CN"/>
        </w:rPr>
        <w:t>τ</w:t>
      </w:r>
      <w:r>
        <w:rPr>
          <w:rFonts w:hint="eastAsia" w:ascii="Times New Roman" w:hAnsi="Times New Roman" w:eastAsia="宋体" w:cs="Times New Roman"/>
          <w:snapToGrid/>
          <w:color w:val="auto"/>
          <w:sz w:val="20"/>
          <w:szCs w:val="20"/>
        </w:rPr>
        <w:t xml:space="preserve"> = 0.22) between pedagogical integration and long-term needs (</w:t>
      </w:r>
      <w:r>
        <w:rPr>
          <w:rFonts w:hint="default" w:ascii="Times New Roman" w:hAnsi="Times New Roman" w:eastAsia="宋体" w:cs="Times New Roman"/>
          <w:snapToGrid/>
          <w:color w:val="auto"/>
          <w:sz w:val="20"/>
          <w:szCs w:val="20"/>
          <w:lang w:eastAsia="zh-CN"/>
        </w:rPr>
        <w:t>τ</w:t>
      </w:r>
      <w:r>
        <w:rPr>
          <w:rFonts w:hint="eastAsia" w:ascii="Times New Roman" w:hAnsi="Times New Roman" w:eastAsia="宋体" w:cs="Times New Roman"/>
          <w:snapToGrid/>
          <w:color w:val="auto"/>
          <w:sz w:val="20"/>
          <w:szCs w:val="20"/>
        </w:rPr>
        <w:t xml:space="preserve"> = 0.20) demonstrates that long-term instructional environments manifest systematic integration and long-term impact issues.</w:t>
      </w:r>
      <w:r>
        <w:rPr>
          <w:rFonts w:hint="default" w:ascii="Times New Roman" w:hAnsi="Times New Roman" w:eastAsia="宋体" w:cs="Times New Roman"/>
          <w:snapToGrid/>
          <w:color w:val="auto"/>
          <w:sz w:val="20"/>
          <w:szCs w:val="20"/>
          <w:lang w:eastAsia="zh-CN"/>
        </w:rPr>
        <w:t>Conversely, gaps around learner experience levels showed a negative correlation with exposure context (τ = −0.33).</w:t>
      </w:r>
    </w:p>
    <w:p w14:paraId="3F54D42C">
      <w:pPr>
        <w:pStyle w:val="6"/>
        <w:snapToGrid/>
        <w:spacing w:before="55" w:line="480" w:lineRule="auto"/>
        <w:contextualSpacing/>
        <w:jc w:val="both"/>
        <w:outlineLvl w:val="2"/>
        <w:rPr>
          <w:rFonts w:ascii="Times New Roman" w:hAnsi="Times New Roman" w:cs="Times New Roman"/>
          <w:spacing w:val="4"/>
          <w:position w:val="2"/>
          <w:sz w:val="24"/>
          <w:szCs w:val="24"/>
          <w:lang w:eastAsia="zh-CN"/>
        </w:rPr>
      </w:pPr>
      <w:r>
        <w:rPr>
          <w:rFonts w:hint="default" w:ascii="Times New Roman" w:hAnsi="Times New Roman" w:cs="Times New Roman"/>
          <w:spacing w:val="4"/>
          <w:position w:val="2"/>
          <w:sz w:val="24"/>
          <w:szCs w:val="24"/>
          <w:lang w:eastAsia="zh-CN"/>
        </w:rPr>
        <w:drawing>
          <wp:inline distT="0" distB="0" distL="114300" distR="114300">
            <wp:extent cx="5266055" cy="3009265"/>
            <wp:effectExtent l="0" t="0" r="6985" b="8255"/>
            <wp:docPr id="3" name="图片 3" descr="热力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热力图"/>
                    <pic:cNvPicPr>
                      <a:picLocks noChangeAspect="1"/>
                    </pic:cNvPicPr>
                  </pic:nvPicPr>
                  <pic:blipFill>
                    <a:blip r:embed="rId12"/>
                    <a:stretch>
                      <a:fillRect/>
                    </a:stretch>
                  </pic:blipFill>
                  <pic:spPr>
                    <a:xfrm>
                      <a:off x="0" y="0"/>
                      <a:ext cx="5266055" cy="3009265"/>
                    </a:xfrm>
                    <a:prstGeom prst="rect">
                      <a:avLst/>
                    </a:prstGeom>
                    <a:noFill/>
                    <a:ln>
                      <a:noFill/>
                    </a:ln>
                  </pic:spPr>
                </pic:pic>
              </a:graphicData>
            </a:graphic>
          </wp:inline>
        </w:drawing>
      </w:r>
    </w:p>
    <w:p w14:paraId="487DD547">
      <w:pPr>
        <w:pStyle w:val="6"/>
        <w:keepNext w:val="0"/>
        <w:keepLines w:val="0"/>
        <w:pageBreakBefore w:val="0"/>
        <w:widowControl/>
        <w:kinsoku w:val="0"/>
        <w:wordWrap/>
        <w:overflowPunct/>
        <w:topLinePunct w:val="0"/>
        <w:autoSpaceDE w:val="0"/>
        <w:autoSpaceDN w:val="0"/>
        <w:bidi w:val="0"/>
        <w:adjustRightInd w:val="0"/>
        <w:snapToGrid/>
        <w:spacing w:before="55" w:line="240" w:lineRule="auto"/>
        <w:contextualSpacing/>
        <w:jc w:val="both"/>
        <w:textAlignment w:val="baseline"/>
        <w:outlineLvl w:val="2"/>
        <w:rPr>
          <w:rFonts w:hint="default" w:ascii="Times New Roman" w:hAnsi="Times New Roman" w:cs="Times New Roman" w:eastAsiaTheme="minorEastAsia"/>
          <w:b w:val="0"/>
          <w:bCs w:val="0"/>
          <w:snapToGrid/>
          <w:color w:val="000000"/>
          <w:kern w:val="2"/>
          <w:sz w:val="18"/>
          <w:szCs w:val="18"/>
          <w:lang w:val="en-US" w:eastAsia="zh-CN" w:bidi="ar-SA"/>
        </w:rPr>
      </w:pPr>
      <w:r>
        <w:rPr>
          <w:rFonts w:hint="default" w:ascii="Times New Roman" w:hAnsi="Times New Roman" w:cs="Times New Roman" w:eastAsiaTheme="minorEastAsia"/>
          <w:b/>
          <w:bCs/>
          <w:snapToGrid/>
          <w:color w:val="000000"/>
          <w:kern w:val="2"/>
          <w:sz w:val="18"/>
          <w:szCs w:val="18"/>
          <w:lang w:val="en-US" w:eastAsia="zh-CN" w:bidi="ar-SA"/>
        </w:rPr>
        <w:t xml:space="preserve">Table 4 </w:t>
      </w:r>
      <w:r>
        <w:rPr>
          <w:rFonts w:hint="default" w:ascii="Times New Roman" w:hAnsi="Times New Roman" w:cs="Times New Roman" w:eastAsiaTheme="minorEastAsia"/>
          <w:b w:val="0"/>
          <w:bCs w:val="0"/>
          <w:snapToGrid/>
          <w:color w:val="000000"/>
          <w:kern w:val="2"/>
          <w:sz w:val="18"/>
          <w:szCs w:val="18"/>
          <w:lang w:val="en-US" w:eastAsia="zh-CN" w:bidi="ar-SA"/>
        </w:rPr>
        <w:t>Kendall’s τ correlations between exposure context and research gaps (C1–C10).</w:t>
      </w:r>
    </w:p>
    <w:p w14:paraId="0E856309">
      <w:pPr>
        <w:pStyle w:val="6"/>
        <w:keepNext w:val="0"/>
        <w:keepLines w:val="0"/>
        <w:pageBreakBefore w:val="0"/>
        <w:widowControl/>
        <w:kinsoku w:val="0"/>
        <w:wordWrap/>
        <w:overflowPunct/>
        <w:topLinePunct w:val="0"/>
        <w:autoSpaceDE w:val="0"/>
        <w:autoSpaceDN w:val="0"/>
        <w:bidi w:val="0"/>
        <w:adjustRightInd w:val="0"/>
        <w:snapToGrid/>
        <w:spacing w:before="55" w:line="240" w:lineRule="auto"/>
        <w:contextualSpacing/>
        <w:jc w:val="both"/>
        <w:textAlignment w:val="baseline"/>
        <w:outlineLvl w:val="2"/>
        <w:rPr>
          <w:rFonts w:hint="default" w:ascii="Times New Roman" w:hAnsi="Times New Roman" w:cs="Times New Roman" w:eastAsiaTheme="minorEastAsia"/>
          <w:b/>
          <w:bCs/>
          <w:snapToGrid/>
          <w:color w:val="000000"/>
          <w:kern w:val="2"/>
          <w:sz w:val="18"/>
          <w:szCs w:val="18"/>
          <w:lang w:val="en-US" w:eastAsia="zh-CN" w:bidi="ar-SA"/>
        </w:rPr>
      </w:pPr>
    </w:p>
    <w:p w14:paraId="46CC0C0E">
      <w:pPr>
        <w:kinsoku/>
        <w:adjustRightInd/>
        <w:snapToGrid/>
        <w:ind w:firstLine="400" w:firstLineChars="200"/>
        <w:jc w:val="both"/>
        <w:textAlignment w:val="auto"/>
        <w:outlineLvl w:val="1"/>
        <w:rPr>
          <w:rFonts w:hint="default" w:ascii="Times New Roman" w:hAnsi="Times New Roman" w:eastAsia="宋体" w:cs="Times New Roman"/>
          <w:snapToGrid/>
          <w:color w:val="auto"/>
          <w:sz w:val="20"/>
          <w:szCs w:val="20"/>
          <w:lang w:eastAsia="zh-CN"/>
        </w:rPr>
      </w:pPr>
      <w:r>
        <w:rPr>
          <w:rFonts w:hint="default" w:ascii="Times New Roman" w:hAnsi="Times New Roman" w:eastAsia="宋体" w:cs="Times New Roman"/>
          <w:snapToGrid/>
          <w:color w:val="auto"/>
          <w:sz w:val="20"/>
          <w:szCs w:val="20"/>
          <w:lang w:eastAsia="zh-CN"/>
        </w:rPr>
        <w:t xml:space="preserve">Studies focusing on introductory or foundational courses were significantly more likely to emphasize the need for stage-differentiated research. This pattern suggests that when researchers observe novice students engaging with </w:t>
      </w:r>
      <w:r>
        <w:rPr>
          <w:rFonts w:hint="eastAsia" w:ascii="Times New Roman" w:hAnsi="Times New Roman" w:eastAsia="宋体" w:cs="Times New Roman"/>
          <w:snapToGrid/>
          <w:color w:val="auto"/>
          <w:sz w:val="20"/>
          <w:szCs w:val="20"/>
          <w:lang w:val="en-US" w:eastAsia="zh-CN"/>
        </w:rPr>
        <w:t>Gen</w:t>
      </w:r>
      <w:r>
        <w:rPr>
          <w:rFonts w:hint="default" w:ascii="Times New Roman" w:hAnsi="Times New Roman" w:eastAsia="宋体" w:cs="Times New Roman"/>
          <w:snapToGrid/>
          <w:color w:val="auto"/>
          <w:sz w:val="20"/>
          <w:szCs w:val="20"/>
          <w:lang w:eastAsia="zh-CN"/>
        </w:rPr>
        <w:t xml:space="preserve">AI tools, they become alert to potential developmental risks. For example, early over-reliance on </w:t>
      </w:r>
      <w:r>
        <w:rPr>
          <w:rFonts w:hint="eastAsia" w:ascii="Times New Roman" w:hAnsi="Times New Roman" w:eastAsia="宋体" w:cs="Times New Roman"/>
          <w:snapToGrid/>
          <w:color w:val="auto"/>
          <w:sz w:val="20"/>
          <w:szCs w:val="20"/>
          <w:lang w:val="en-US" w:eastAsia="zh-CN"/>
        </w:rPr>
        <w:t>Gen</w:t>
      </w:r>
      <w:r>
        <w:rPr>
          <w:rFonts w:hint="default" w:ascii="Times New Roman" w:hAnsi="Times New Roman" w:eastAsia="宋体" w:cs="Times New Roman"/>
          <w:snapToGrid/>
          <w:color w:val="auto"/>
          <w:sz w:val="20"/>
          <w:szCs w:val="20"/>
          <w:lang w:eastAsia="zh-CN"/>
        </w:rPr>
        <w:t xml:space="preserve">AI could bypass the iterative struggle that is essential for developing design judgment. In contrast, these concerns tend to diminish in advanced learning contexts, possibly because researchers assume that more experienced learners are better able to regulate their use of </w:t>
      </w:r>
      <w:r>
        <w:rPr>
          <w:rFonts w:hint="eastAsia" w:ascii="Times New Roman" w:hAnsi="Times New Roman" w:eastAsia="宋体" w:cs="Times New Roman"/>
          <w:snapToGrid/>
          <w:color w:val="auto"/>
          <w:sz w:val="20"/>
          <w:szCs w:val="20"/>
          <w:lang w:val="en-US" w:eastAsia="zh-CN"/>
        </w:rPr>
        <w:t>Gen</w:t>
      </w:r>
      <w:r>
        <w:rPr>
          <w:rFonts w:hint="default" w:ascii="Times New Roman" w:hAnsi="Times New Roman" w:eastAsia="宋体" w:cs="Times New Roman"/>
          <w:snapToGrid/>
          <w:color w:val="auto"/>
          <w:sz w:val="20"/>
          <w:szCs w:val="20"/>
          <w:lang w:eastAsia="zh-CN"/>
        </w:rPr>
        <w:t>AI independently.</w:t>
      </w:r>
    </w:p>
    <w:p w14:paraId="1EF93A18">
      <w:pPr>
        <w:kinsoku/>
        <w:adjustRightInd/>
        <w:snapToGrid/>
        <w:ind w:firstLine="400" w:firstLineChars="200"/>
        <w:jc w:val="both"/>
        <w:textAlignment w:val="auto"/>
        <w:outlineLvl w:val="1"/>
        <w:rPr>
          <w:rFonts w:hint="default" w:ascii="Times New Roman" w:hAnsi="Times New Roman" w:eastAsia="宋体" w:cs="Times New Roman"/>
          <w:snapToGrid/>
          <w:color w:val="auto"/>
          <w:sz w:val="20"/>
          <w:szCs w:val="20"/>
          <w:lang w:val="en-US" w:eastAsia="zh-CN"/>
        </w:rPr>
      </w:pPr>
      <w:r>
        <w:rPr>
          <w:rFonts w:hint="default" w:ascii="Times New Roman" w:hAnsi="Times New Roman" w:eastAsia="宋体" w:cs="Times New Roman"/>
          <w:snapToGrid/>
          <w:color w:val="auto"/>
          <w:sz w:val="20"/>
          <w:szCs w:val="20"/>
          <w:lang w:val="en-US" w:eastAsia="zh-CN"/>
        </w:rPr>
        <w:t>Moderate positive associations for pedagogical integration (</w:t>
      </w:r>
      <w:r>
        <w:rPr>
          <w:rFonts w:hint="default" w:ascii="Times New Roman" w:hAnsi="Times New Roman" w:eastAsia="宋体" w:cs="Times New Roman"/>
          <w:snapToGrid/>
          <w:color w:val="auto"/>
          <w:sz w:val="20"/>
          <w:szCs w:val="20"/>
          <w:lang w:eastAsia="zh-CN"/>
        </w:rPr>
        <w:t>τ</w:t>
      </w:r>
      <w:r>
        <w:rPr>
          <w:rFonts w:hint="default" w:ascii="Times New Roman" w:hAnsi="Times New Roman" w:eastAsia="宋体" w:cs="Times New Roman"/>
          <w:snapToGrid/>
          <w:color w:val="auto"/>
          <w:sz w:val="20"/>
          <w:szCs w:val="20"/>
          <w:lang w:val="en-US" w:eastAsia="zh-CN"/>
        </w:rPr>
        <w:t xml:space="preserve"> = 0.22) and longitudinal design needs (</w:t>
      </w:r>
      <w:r>
        <w:rPr>
          <w:rFonts w:hint="default" w:ascii="Times New Roman" w:hAnsi="Times New Roman" w:eastAsia="宋体" w:cs="Times New Roman"/>
          <w:snapToGrid/>
          <w:color w:val="auto"/>
          <w:sz w:val="20"/>
          <w:szCs w:val="20"/>
          <w:lang w:eastAsia="zh-CN"/>
        </w:rPr>
        <w:t>τ</w:t>
      </w:r>
      <w:r>
        <w:rPr>
          <w:rFonts w:hint="default" w:ascii="Times New Roman" w:hAnsi="Times New Roman" w:eastAsia="宋体" w:cs="Times New Roman"/>
          <w:snapToGrid/>
          <w:color w:val="auto"/>
          <w:sz w:val="20"/>
          <w:szCs w:val="20"/>
          <w:lang w:val="en-US" w:eastAsia="zh-CN"/>
        </w:rPr>
        <w:t xml:space="preserve"> = 0.20) suggest the presence of a distinct contextual dynamic444. Specifically, studies conducted within formal and sustained instructional environments, which include full-semester courses rather than short-term workshops and integrated curricula instead of isolated experiments, more frequently identified these specific gaps. This finding can be explained by the fact that the implementation of pedagogical models at scale over extended periods necessitates addressing systematic integration and long-term impact6. Such complex factors may not be observed during interventions of shorter duration.</w:t>
      </w:r>
    </w:p>
    <w:p w14:paraId="699E495F">
      <w:pPr>
        <w:pStyle w:val="6"/>
        <w:snapToGrid/>
        <w:spacing w:before="55" w:line="480" w:lineRule="auto"/>
        <w:contextualSpacing/>
        <w:jc w:val="both"/>
        <w:outlineLvl w:val="2"/>
        <w:rPr>
          <w:rFonts w:ascii="Times New Roman" w:hAnsi="Times New Roman" w:cs="Times New Roman"/>
          <w:b/>
          <w:bCs/>
          <w:spacing w:val="4"/>
          <w:position w:val="2"/>
          <w:sz w:val="24"/>
          <w:szCs w:val="24"/>
          <w:lang w:eastAsia="zh-CN"/>
        </w:rPr>
      </w:pPr>
      <w:r>
        <w:rPr>
          <w:rFonts w:ascii="Times New Roman" w:hAnsi="Times New Roman" w:eastAsia="宋体" w:cs="Times New Roman"/>
          <w:b/>
          <w:bCs/>
          <w:snapToGrid/>
          <w:sz w:val="20"/>
          <w:szCs w:val="20"/>
          <w:lang w:val="en-US" w:eastAsia="zh-CN" w:bidi="ar-SA"/>
        </w:rPr>
        <w:t>Possibilities of Future Research in GenAI-Assisted Creative Education</w:t>
      </w:r>
    </w:p>
    <w:p w14:paraId="43A2E9E3">
      <w:pPr>
        <w:kinsoku/>
        <w:adjustRightInd/>
        <w:snapToGrid/>
        <w:jc w:val="both"/>
        <w:textAlignment w:val="auto"/>
        <w:outlineLvl w:val="1"/>
        <w:rPr>
          <w:rFonts w:hint="eastAsia" w:ascii="Times New Roman" w:hAnsi="Times New Roman" w:eastAsia="宋体" w:cs="Times New Roman"/>
          <w:snapToGrid/>
          <w:color w:val="auto"/>
          <w:sz w:val="20"/>
          <w:szCs w:val="20"/>
          <w:lang w:eastAsia="zh-CN"/>
        </w:rPr>
      </w:pPr>
      <w:r>
        <w:rPr>
          <w:rFonts w:hint="eastAsia" w:ascii="Times New Roman" w:hAnsi="Times New Roman" w:eastAsia="宋体" w:cs="Times New Roman"/>
          <w:snapToGrid/>
          <w:color w:val="auto"/>
          <w:sz w:val="20"/>
          <w:szCs w:val="20"/>
          <w:lang w:val="en-US" w:eastAsia="zh-CN"/>
        </w:rPr>
        <w:t>T</w:t>
      </w:r>
      <w:r>
        <w:rPr>
          <w:rFonts w:hint="default" w:ascii="Times New Roman" w:hAnsi="Times New Roman" w:eastAsia="宋体" w:cs="Times New Roman"/>
          <w:snapToGrid/>
          <w:color w:val="auto"/>
          <w:sz w:val="20"/>
          <w:szCs w:val="20"/>
          <w:lang w:eastAsia="zh-CN"/>
        </w:rPr>
        <w:t>he prominence of collaboration mechanism and longitudinal design gaps suggests the field needs a shift in research infrastructure. We need studies that can capture temporal dynamics and process-level detail simultaneously. Such studies should employ mixed-methods designs, which involve following student cohorts while collecting rich interaction data</w:t>
      </w:r>
      <w:r>
        <w:rPr>
          <w:rFonts w:hint="default" w:ascii="Times New Roman" w:hAnsi="Times New Roman" w:eastAsia="宋体" w:cs="Times New Roman"/>
          <w:snapToGrid/>
          <w:color w:val="auto"/>
          <w:sz w:val="20"/>
          <w:szCs w:val="20"/>
          <w:lang w:eastAsia="zh-CN"/>
        </w:rPr>
        <w:fldChar w:fldCharType="begin"/>
      </w:r>
      <w:r>
        <w:rPr>
          <w:rFonts w:hint="eastAsia" w:ascii="Times New Roman" w:hAnsi="Times New Roman" w:eastAsia="宋体" w:cs="Times New Roman"/>
          <w:snapToGrid/>
          <w:color w:val="auto"/>
          <w:sz w:val="20"/>
          <w:szCs w:val="20"/>
          <w:lang w:eastAsia="zh-CN"/>
        </w:rPr>
        <w:instrText xml:space="preserve"> ADDIN ZOTERO_ITEM CSL_CITATION {"citationID":"0grZHjlE","properties":{"formattedCitation":"&lt;sup&gt;47&lt;/sup&gt;","plainCitation":"47","noteIndex":0},"citationItems":[{"id":1274,"uris":["http://zotero.org/groups/6329368/items/GL9IX3FF"],"itemData":{"id":1274,"type":"book","collection-title":"Lecture Notes in Educational Technology","DOI":"10.1007/978-981-99-0942-1","ISBN":"978-981-99-0941-4","language":"en","license":"https://www.springernature.com/gp/researchers/text-and-data-mining","publisher":"Springer Nature Singapore","publisher-place":"Singapore","source":"DOI.org (Crossref)","title":"Proceedings TEEM 2022: Tenth International Conference on Technological Ecosystems for Enhancing Multiculturality: Salamanca, Spain, October 19–21, 2022","title-short":"Proceedings TEEM 2022","URL":"https://link.springer.com/10.1007/978-981-99-0942-1","editor":[{"family":"García-Peñalvo","given":"Francisco José"},{"family":"García-Holgado","given":"Alicia"}],"accessed":{"date-parts":[["2026",1,8]]},"issued":{"date-parts":[["2023"]]}}}],"schema":"https://github.com/citation-style-language/schema/raw/master/csl-citation.json"} </w:instrText>
      </w:r>
      <w:r>
        <w:rPr>
          <w:rFonts w:hint="default" w:ascii="Times New Roman" w:hAnsi="Times New Roman" w:eastAsia="宋体" w:cs="Times New Roman"/>
          <w:snapToGrid/>
          <w:color w:val="auto"/>
          <w:sz w:val="20"/>
          <w:szCs w:val="20"/>
          <w:lang w:eastAsia="zh-CN"/>
        </w:rPr>
        <w:fldChar w:fldCharType="separate"/>
      </w:r>
      <w:r>
        <w:rPr>
          <w:rFonts w:hint="eastAsia" w:ascii="Times New Roman" w:hAnsi="Times New Roman" w:eastAsia="宋体" w:cs="Times New Roman"/>
          <w:snapToGrid/>
          <w:color w:val="auto"/>
          <w:sz w:val="20"/>
          <w:szCs w:val="20"/>
          <w:vertAlign w:val="superscript"/>
          <w:lang w:eastAsia="zh-CN"/>
        </w:rPr>
        <w:t>47</w:t>
      </w:r>
      <w:r>
        <w:rPr>
          <w:rFonts w:hint="default" w:ascii="Times New Roman" w:hAnsi="Times New Roman" w:eastAsia="宋体" w:cs="Times New Roman"/>
          <w:snapToGrid/>
          <w:color w:val="auto"/>
          <w:sz w:val="20"/>
          <w:szCs w:val="20"/>
          <w:lang w:eastAsia="zh-CN"/>
        </w:rPr>
        <w:fldChar w:fldCharType="end"/>
      </w:r>
      <w:r>
        <w:rPr>
          <w:rFonts w:hint="default" w:ascii="Times New Roman" w:hAnsi="Times New Roman" w:eastAsia="宋体" w:cs="Times New Roman"/>
          <w:snapToGrid/>
          <w:color w:val="auto"/>
          <w:sz w:val="20"/>
          <w:szCs w:val="20"/>
          <w:lang w:eastAsia="zh-CN"/>
        </w:rPr>
        <w:t>. This isn't just about "better" research in some abstract sense; it's about matching our methods to the phenomena we're trying to understand</w:t>
      </w:r>
      <w:r>
        <w:rPr>
          <w:rFonts w:hint="default" w:ascii="Times New Roman" w:hAnsi="Times New Roman" w:eastAsia="宋体" w:cs="Times New Roman"/>
          <w:snapToGrid/>
          <w:color w:val="auto"/>
          <w:sz w:val="20"/>
          <w:szCs w:val="20"/>
          <w:lang w:eastAsia="zh-CN"/>
        </w:rPr>
        <w:fldChar w:fldCharType="begin"/>
      </w:r>
      <w:r>
        <w:rPr>
          <w:rFonts w:hint="eastAsia" w:ascii="Times New Roman" w:hAnsi="Times New Roman" w:eastAsia="宋体" w:cs="Times New Roman"/>
          <w:snapToGrid/>
          <w:color w:val="auto"/>
          <w:sz w:val="20"/>
          <w:szCs w:val="20"/>
          <w:lang w:eastAsia="zh-CN"/>
        </w:rPr>
        <w:instrText xml:space="preserve"> ADDIN ZOTERO_ITEM CSL_CITATION {"citationID":"cZAaNMyg","properties":{"formattedCitation":"&lt;sup&gt;48&lt;/sup&gt;","plainCitation":"48","noteIndex":0},"citationItems":[{"id":1168,"uris":["http://zotero.org/groups/6329368/items/UICLLR57"],"itemData":{"id":1168,"type":"article-journal","abstract":"The study explores the transformative impact of artificial intelligence (AI) tools on enhancing digital competency and professional development among English as a Foreign Language (EFL) teachers. Grounded in multidimensional AI Literacy Framework encompassing: Understanding, Applying, Evaluating, and AI Ethics, this research critically examines the affordances and limitations of AI-driven platforms, including Microsoft Educator Center, Google Classroom, and Edmodo, in supporting EFL instructional strategies. Employing a mixed-methods approach with a rigorous pretest-posttest random assignment experimental design, the study engaged 184 EFL teachers concurrently enrolled in postgraduate studies. Quantitative data measured gains in digital competency and professional development engagement, while qualitative insights captured teacher perceptions of the findings. Results demonstrated substantial improvements in participants employing AI-enhanced pedagogical strategies. AI tools were found to fosters adaptive learning environments and personalized feedback mechanisms, though challenges emerged such as teacher resistance, inconsistent digital literacy, and infrastructure constraints. The research addresses important gaps in current EFL pedagogical practices by providing robust empirical evidence and actionable insights into AI integration in EFL education. It advocates for professional development programs to equip educators with the requisite skills for effective AI implementation. Furthermore, the study underscores the importance of contextual factors, such as institutional support and equitable access in effective AI adoption. Concluding with strategic recommendations for future research and policy, the study emphasizes the necessity for ongoing support, longitudinal evaluation of AI interventions, and ethical considerations in AI deployment to ensure equitable access and sustainable educational progress.","container-title":"Interactive Learning Environments","DOI":"10.1080/10494820.2025.2591251","ISSN":"1049-4820","issue":"0","note":"_eprint: https://doi.org/10.1080/10494820.2025.2591251","page":"1-17","publisher":"Routledge","source":"Taylor and Francis+NEJM","title":"AI integration in EFL teacher development: a mixed-methods evaluation of digital competency, professional trajectories, and pedagogical innovation within adaptive learning ecosystems","title-short":"AI integration in EFL teacher development","volume":"0","author":[{"family":"Bahari","given":"Akbar"},{"family":"Liu","given":"Yanhong"}],"issued":{"date-parts":[["2025",11,25]]}}}],"schema":"https://github.com/citation-style-language/schema/raw/master/csl-citation.json"} </w:instrText>
      </w:r>
      <w:r>
        <w:rPr>
          <w:rFonts w:hint="default" w:ascii="Times New Roman" w:hAnsi="Times New Roman" w:eastAsia="宋体" w:cs="Times New Roman"/>
          <w:snapToGrid/>
          <w:color w:val="auto"/>
          <w:sz w:val="20"/>
          <w:szCs w:val="20"/>
          <w:lang w:eastAsia="zh-CN"/>
        </w:rPr>
        <w:fldChar w:fldCharType="separate"/>
      </w:r>
      <w:r>
        <w:rPr>
          <w:rFonts w:hint="eastAsia" w:ascii="Times New Roman" w:hAnsi="Times New Roman" w:eastAsia="宋体" w:cs="Times New Roman"/>
          <w:snapToGrid/>
          <w:color w:val="auto"/>
          <w:sz w:val="20"/>
          <w:szCs w:val="20"/>
          <w:vertAlign w:val="superscript"/>
          <w:lang w:eastAsia="zh-CN"/>
        </w:rPr>
        <w:t>48</w:t>
      </w:r>
      <w:r>
        <w:rPr>
          <w:rFonts w:hint="default" w:ascii="Times New Roman" w:hAnsi="Times New Roman" w:eastAsia="宋体" w:cs="Times New Roman"/>
          <w:snapToGrid/>
          <w:color w:val="auto"/>
          <w:sz w:val="20"/>
          <w:szCs w:val="20"/>
          <w:lang w:eastAsia="zh-CN"/>
        </w:rPr>
        <w:fldChar w:fldCharType="end"/>
      </w:r>
      <w:r>
        <w:rPr>
          <w:rFonts w:hint="default" w:ascii="Times New Roman" w:hAnsi="Times New Roman" w:eastAsia="宋体" w:cs="Times New Roman"/>
          <w:snapToGrid/>
          <w:color w:val="auto"/>
          <w:sz w:val="20"/>
          <w:szCs w:val="20"/>
          <w:lang w:eastAsia="zh-CN"/>
        </w:rPr>
        <w:t xml:space="preserve">. Learning with </w:t>
      </w:r>
      <w:r>
        <w:rPr>
          <w:rFonts w:hint="eastAsia" w:ascii="Times New Roman" w:hAnsi="Times New Roman" w:eastAsia="宋体" w:cs="Times New Roman"/>
          <w:snapToGrid/>
          <w:color w:val="auto"/>
          <w:sz w:val="20"/>
          <w:szCs w:val="20"/>
          <w:lang w:val="en-US" w:eastAsia="zh-CN"/>
        </w:rPr>
        <w:t>Gen</w:t>
      </w:r>
      <w:r>
        <w:rPr>
          <w:rFonts w:hint="default" w:ascii="Times New Roman" w:hAnsi="Times New Roman" w:eastAsia="宋体" w:cs="Times New Roman"/>
          <w:snapToGrid/>
          <w:color w:val="auto"/>
          <w:sz w:val="20"/>
          <w:szCs w:val="20"/>
          <w:lang w:eastAsia="zh-CN"/>
        </w:rPr>
        <w:t>AI unfolds over time through repeated interactions, so our research designs need to accommodate that temporal and interactive structure</w:t>
      </w:r>
      <w:r>
        <w:rPr>
          <w:rFonts w:hint="default" w:ascii="Times New Roman" w:hAnsi="Times New Roman" w:eastAsia="宋体" w:cs="Times New Roman"/>
          <w:snapToGrid/>
          <w:color w:val="auto"/>
          <w:sz w:val="20"/>
          <w:szCs w:val="20"/>
          <w:lang w:eastAsia="zh-CN"/>
        </w:rPr>
        <w:fldChar w:fldCharType="begin"/>
      </w:r>
      <w:r>
        <w:rPr>
          <w:rFonts w:hint="eastAsia" w:ascii="Times New Roman" w:hAnsi="Times New Roman" w:eastAsia="宋体" w:cs="Times New Roman"/>
          <w:snapToGrid/>
          <w:color w:val="auto"/>
          <w:sz w:val="20"/>
          <w:szCs w:val="20"/>
          <w:lang w:eastAsia="zh-CN"/>
        </w:rPr>
        <w:instrText xml:space="preserve"> ADDIN ZOTERO_ITEM CSL_CITATION {"citationID":"TyB2qzVX","properties":{"formattedCitation":"&lt;sup&gt;49&lt;/sup&gt;","plainCitation":"49","noteIndex":0},"citationItems":[{"id":1290,"uris":["http://zotero.org/groups/6329368/items/N6Y2MBSA"],"itemData":{"id":1290,"type":"article-journal","container-title":"Educational Technology &amp; Society","ISSN":"1176-3647","issue":"4","journalAbbreviation":"Educational Technology &amp; Society","page":"1-14","publisher":"JSTOR","title":"Temporal structures and sequential patterns of self-regulated learning behaviors in problem solving with an intelligent tutoring system","volume":"25","author":[{"family":"Li","given":"Shan"},{"family":"Zheng","given":"Juan"},{"family":"Lajoie","given":"Susanne P"}],"issued":{"date-parts":[["2022"]]}}}],"schema":"https://github.com/citation-style-language/schema/raw/master/csl-citation.json"} </w:instrText>
      </w:r>
      <w:r>
        <w:rPr>
          <w:rFonts w:hint="default" w:ascii="Times New Roman" w:hAnsi="Times New Roman" w:eastAsia="宋体" w:cs="Times New Roman"/>
          <w:snapToGrid/>
          <w:color w:val="auto"/>
          <w:sz w:val="20"/>
          <w:szCs w:val="20"/>
          <w:lang w:eastAsia="zh-CN"/>
        </w:rPr>
        <w:fldChar w:fldCharType="separate"/>
      </w:r>
      <w:r>
        <w:rPr>
          <w:rFonts w:hint="eastAsia" w:ascii="Times New Roman" w:hAnsi="Times New Roman" w:eastAsia="宋体" w:cs="Times New Roman"/>
          <w:snapToGrid/>
          <w:color w:val="auto"/>
          <w:sz w:val="20"/>
          <w:szCs w:val="20"/>
          <w:vertAlign w:val="superscript"/>
          <w:lang w:eastAsia="zh-CN"/>
        </w:rPr>
        <w:t>49</w:t>
      </w:r>
      <w:r>
        <w:rPr>
          <w:rFonts w:hint="default" w:ascii="Times New Roman" w:hAnsi="Times New Roman" w:eastAsia="宋体" w:cs="Times New Roman"/>
          <w:snapToGrid/>
          <w:color w:val="auto"/>
          <w:sz w:val="20"/>
          <w:szCs w:val="20"/>
          <w:lang w:eastAsia="zh-CN"/>
        </w:rPr>
        <w:fldChar w:fldCharType="end"/>
      </w:r>
      <w:r>
        <w:rPr>
          <w:rFonts w:hint="default" w:ascii="Times New Roman" w:hAnsi="Times New Roman" w:eastAsia="宋体" w:cs="Times New Roman"/>
          <w:snapToGrid/>
          <w:color w:val="auto"/>
          <w:sz w:val="20"/>
          <w:szCs w:val="20"/>
          <w:lang w:eastAsia="zh-CN"/>
        </w:rPr>
        <w:t>.</w:t>
      </w:r>
    </w:p>
    <w:p w14:paraId="4B862BFD">
      <w:pPr>
        <w:kinsoku/>
        <w:adjustRightInd/>
        <w:snapToGrid/>
        <w:ind w:firstLine="400" w:firstLineChars="200"/>
        <w:jc w:val="both"/>
        <w:textAlignment w:val="auto"/>
        <w:outlineLvl w:val="1"/>
        <w:rPr>
          <w:rFonts w:hint="eastAsia" w:ascii="Times New Roman" w:hAnsi="Times New Roman" w:eastAsia="宋体" w:cs="Times New Roman"/>
          <w:snapToGrid/>
          <w:color w:val="auto"/>
          <w:sz w:val="20"/>
          <w:szCs w:val="20"/>
          <w:lang w:eastAsia="zh-CN"/>
        </w:rPr>
      </w:pPr>
      <w:r>
        <w:rPr>
          <w:rFonts w:hint="default" w:ascii="Times New Roman" w:hAnsi="Times New Roman" w:eastAsia="宋体" w:cs="Times New Roman"/>
          <w:snapToGrid/>
          <w:color w:val="auto"/>
          <w:sz w:val="20"/>
          <w:szCs w:val="20"/>
          <w:lang w:eastAsia="zh-CN"/>
        </w:rPr>
        <w:t>Second, the contextual sensitivity of certain gaps, which is particularly pronounced in areas such as learner stages and ethical concerns, argues against one-size-fits-all research or policy approaches. Novice-focused research should perhaps prioritize questions about scaffolding and skill development, while studies in advanced or professional contexts might usefully foreground ethical frameworks and governance structures</w:t>
      </w:r>
      <w:r>
        <w:rPr>
          <w:rFonts w:hint="default" w:ascii="Times New Roman" w:hAnsi="Times New Roman" w:eastAsia="宋体" w:cs="Times New Roman"/>
          <w:snapToGrid/>
          <w:color w:val="auto"/>
          <w:sz w:val="20"/>
          <w:szCs w:val="20"/>
          <w:lang w:eastAsia="zh-CN"/>
        </w:rPr>
        <w:fldChar w:fldCharType="begin"/>
      </w:r>
      <w:r>
        <w:rPr>
          <w:rFonts w:hint="eastAsia" w:ascii="Times New Roman" w:hAnsi="Times New Roman" w:eastAsia="宋体" w:cs="Times New Roman"/>
          <w:snapToGrid/>
          <w:color w:val="auto"/>
          <w:sz w:val="20"/>
          <w:szCs w:val="20"/>
          <w:lang w:eastAsia="zh-CN"/>
        </w:rPr>
        <w:instrText xml:space="preserve"> ADDIN ZOTERO_ITEM CSL_CITATION {"citationID":"OZlDTrEY","properties":{"formattedCitation":"&lt;sup&gt;29&lt;/sup&gt;","plainCitation":"29","noteIndex":0},"citationItems":[{"id":1280,"uris":["http://zotero.org/groups/6329368/items/6SBCECWE"],"itemData":{"id":1280,"type":"article-journal","abstract":"The advent of generative artificial intelligence (AI) has ignited an increase in discussions about generative AI tools in education. In this study, a human-centered learning and teaching framework that uses generative AI tools for self-regulated learning development through domain knowledge learning was proposed to catalyze changes in educational practices. The framework illustrates how generative AI tools can revolutionize educational practices and transform the processes of teaching and learning to become human-centered. It emphasizes the evolving roles of teachers, who increasingly become skillful facilitators and humanistic storytellers who craft differentiated instructions and attempt to develop students’ individualized learning. Drawing upon insights from neuroscience, the framework guides students to employ generative AI tools to augment their attentiveness, stimulate active engagement in learning, receive immediate feedback, and encourage self-reflection. The pedagogical approach is also reimagined; teachers equipped with generative AI tools and AI literacy can refine their teaching strategies to better equip students to meet future challenges. The practical application of the framework is demonstrated in a case study involving the development of Chinese language writing ability among primary students within a K–12 educational context. This article also reports the results of a 60-h development programme for teachers. Specifically, providing in-service teachers with cases involving uses of the proposed framework helped them to better understand the generative AI concepts and integrate them into their teaching and learning and increased their perceived ability to design AI-integrated courses that would enhance students’ attention, engagement, confidence, and satisfaction.","container-title":"IEEE Transactions on Learning Technologies","DOI":"10.1109/TLT.2024.3392830","ISSN":"1939-1382","page":"1562-1573","source":"IEEE Xplore","title":"A Human-Centered Learning and Teaching Framework Using Generative Artificial Intelligence for Self-Regulated Learning Development Through Domain Knowledge Learning in K–12 Settings","volume":"17","author":[{"family":"Kong","given":"Siu-Cheung"},{"family":"Yang","given":"Yin"}],"issued":{"date-parts":[["2024"]]}}}],"schema":"https://github.com/citation-style-language/schema/raw/master/csl-citation.json"} </w:instrText>
      </w:r>
      <w:r>
        <w:rPr>
          <w:rFonts w:hint="default" w:ascii="Times New Roman" w:hAnsi="Times New Roman" w:eastAsia="宋体" w:cs="Times New Roman"/>
          <w:snapToGrid/>
          <w:color w:val="auto"/>
          <w:sz w:val="20"/>
          <w:szCs w:val="20"/>
          <w:lang w:eastAsia="zh-CN"/>
        </w:rPr>
        <w:fldChar w:fldCharType="separate"/>
      </w:r>
      <w:r>
        <w:rPr>
          <w:rFonts w:hint="eastAsia" w:ascii="Times New Roman" w:hAnsi="Times New Roman" w:eastAsia="宋体" w:cs="Times New Roman"/>
          <w:snapToGrid/>
          <w:color w:val="auto"/>
          <w:sz w:val="20"/>
          <w:szCs w:val="20"/>
          <w:vertAlign w:val="superscript"/>
          <w:lang w:eastAsia="zh-CN"/>
        </w:rPr>
        <w:t>29</w:t>
      </w:r>
      <w:r>
        <w:rPr>
          <w:rFonts w:hint="default" w:ascii="Times New Roman" w:hAnsi="Times New Roman" w:eastAsia="宋体" w:cs="Times New Roman"/>
          <w:snapToGrid/>
          <w:color w:val="auto"/>
          <w:sz w:val="20"/>
          <w:szCs w:val="20"/>
          <w:lang w:eastAsia="zh-CN"/>
        </w:rPr>
        <w:fldChar w:fldCharType="end"/>
      </w:r>
      <w:r>
        <w:rPr>
          <w:rFonts w:hint="default" w:ascii="Times New Roman" w:hAnsi="Times New Roman" w:eastAsia="宋体" w:cs="Times New Roman"/>
          <w:snapToGrid/>
          <w:color w:val="auto"/>
          <w:sz w:val="20"/>
          <w:szCs w:val="20"/>
          <w:lang w:eastAsia="zh-CN"/>
        </w:rPr>
        <w:t>. This doesn't mean abandoning general principles, but it does suggest we need differentiated research strategies that acknowledge different stakeholder concerns across educational contexts</w:t>
      </w:r>
      <w:r>
        <w:rPr>
          <w:rFonts w:hint="default" w:ascii="Times New Roman" w:hAnsi="Times New Roman" w:eastAsia="宋体" w:cs="Times New Roman"/>
          <w:snapToGrid/>
          <w:color w:val="auto"/>
          <w:sz w:val="20"/>
          <w:szCs w:val="20"/>
          <w:lang w:eastAsia="zh-CN"/>
        </w:rPr>
        <w:fldChar w:fldCharType="begin"/>
      </w:r>
      <w:r>
        <w:rPr>
          <w:rFonts w:hint="eastAsia" w:ascii="Times New Roman" w:hAnsi="Times New Roman" w:eastAsia="宋体" w:cs="Times New Roman"/>
          <w:snapToGrid/>
          <w:color w:val="auto"/>
          <w:sz w:val="20"/>
          <w:szCs w:val="20"/>
          <w:lang w:eastAsia="zh-CN"/>
        </w:rPr>
        <w:instrText xml:space="preserve"> ADDIN ZOTERO_ITEM CSL_CITATION {"citationID":"ssIBve5D","properties":{"formattedCitation":"&lt;sup&gt;50&lt;/sup&gt;","plainCitation":"50","noteIndex":0},"citationItems":[{"id":1278,"uris":["http://zotero.org/groups/6329368/items/5MKBRQHS"],"itemData":{"id":1278,"type":"article-journal","abstract":"This study aimed to explore the experiences, perceptions, knowledge, concerns, and intentions of Generation Z (Gen Z) students with Generation X (Gen X) and Generation Y (Gen Y) teachers regarding the use of generative AI (GenAI) in higher education. A sample of students and teachers were recruited to investigate the above using a survey consisting of both open and closed questions. The findings showed that Gen Z participants were generally optimistic about the potential benefits of GenAI, including enhanced productivity, efficiency, and personalized learning, and expressed intentions to use GenAI for various educational purposes. Gen X and Gen Y teachers acknowledged the potential benefits of GenAI but expressed heightened concerns about overreliance, ethical and pedagogical implications, emphasizing the need for proper guidelines and policies to ensure responsible use of the technology. The study highlighted the importance of combining technology with traditional teaching methods to provide a more effective learning experience. Implications of the findings include the need to develop evidence-based guidelines and policies for GenAI integration, foster critical thinking and digital literacy skills among students, and promote responsible use of GenAI technologies in higher education.","container-title":"Smart Learning Environments","DOI":"10.1186/s40561-023-00269-3","ISSN":"2196-7091","issue":"1","journalAbbreviation":"Smart Learn. Environ.","language":"en","page":"60","source":"Springer Link","title":"The AI generation gap: Are Gen Z students more interested in adopting generative AI such as ChatGPT in teaching and learning than their Gen X and millennial generation teachers?","title-short":"The AI generation gap","volume":"10","author":[{"family":"Chan","given":"Cecilia Ka Yuk"},{"family":"Lee","given":"Katherine K. W."}],"issued":{"date-parts":[["2023",11,15]]}}}],"schema":"https://github.com/citation-style-language/schema/raw/master/csl-citation.json"} </w:instrText>
      </w:r>
      <w:r>
        <w:rPr>
          <w:rFonts w:hint="default" w:ascii="Times New Roman" w:hAnsi="Times New Roman" w:eastAsia="宋体" w:cs="Times New Roman"/>
          <w:snapToGrid/>
          <w:color w:val="auto"/>
          <w:sz w:val="20"/>
          <w:szCs w:val="20"/>
          <w:lang w:eastAsia="zh-CN"/>
        </w:rPr>
        <w:fldChar w:fldCharType="separate"/>
      </w:r>
      <w:r>
        <w:rPr>
          <w:rFonts w:hint="eastAsia" w:ascii="Times New Roman" w:hAnsi="Times New Roman" w:eastAsia="宋体" w:cs="Times New Roman"/>
          <w:snapToGrid/>
          <w:color w:val="auto"/>
          <w:sz w:val="20"/>
          <w:szCs w:val="20"/>
          <w:vertAlign w:val="superscript"/>
          <w:lang w:eastAsia="zh-CN"/>
        </w:rPr>
        <w:t>50</w:t>
      </w:r>
      <w:r>
        <w:rPr>
          <w:rFonts w:hint="default" w:ascii="Times New Roman" w:hAnsi="Times New Roman" w:eastAsia="宋体" w:cs="Times New Roman"/>
          <w:snapToGrid/>
          <w:color w:val="auto"/>
          <w:sz w:val="20"/>
          <w:szCs w:val="20"/>
          <w:lang w:eastAsia="zh-CN"/>
        </w:rPr>
        <w:fldChar w:fldCharType="end"/>
      </w:r>
      <w:r>
        <w:rPr>
          <w:rFonts w:hint="default" w:ascii="Times New Roman" w:hAnsi="Times New Roman" w:eastAsia="宋体" w:cs="Times New Roman"/>
          <w:snapToGrid/>
          <w:color w:val="auto"/>
          <w:sz w:val="20"/>
          <w:szCs w:val="20"/>
          <w:lang w:eastAsia="zh-CN"/>
        </w:rPr>
        <w:t>.</w:t>
      </w:r>
    </w:p>
    <w:p w14:paraId="49C2FDDE">
      <w:pPr>
        <w:kinsoku/>
        <w:adjustRightInd/>
        <w:snapToGrid/>
        <w:ind w:firstLine="400" w:firstLineChars="200"/>
        <w:jc w:val="both"/>
        <w:textAlignment w:val="auto"/>
        <w:outlineLvl w:val="1"/>
        <w:rPr>
          <w:rFonts w:hint="eastAsia" w:ascii="Times New Roman" w:hAnsi="Times New Roman" w:eastAsia="宋体" w:cs="Times New Roman"/>
          <w:snapToGrid/>
          <w:color w:val="auto"/>
          <w:sz w:val="20"/>
          <w:szCs w:val="20"/>
          <w:lang w:eastAsia="zh-CN"/>
        </w:rPr>
      </w:pPr>
      <w:r>
        <w:rPr>
          <w:rFonts w:hint="default" w:ascii="Times New Roman" w:hAnsi="Times New Roman" w:eastAsia="宋体" w:cs="Times New Roman"/>
          <w:snapToGrid/>
          <w:color w:val="auto"/>
          <w:sz w:val="20"/>
          <w:szCs w:val="20"/>
          <w:lang w:eastAsia="zh-CN"/>
        </w:rPr>
        <w:t xml:space="preserve">Third, Several major gaps, such as discipline specificity, </w:t>
      </w:r>
      <w:r>
        <w:rPr>
          <w:rFonts w:hint="eastAsia" w:ascii="Times New Roman" w:hAnsi="Times New Roman" w:eastAsia="宋体" w:cs="Times New Roman"/>
          <w:snapToGrid/>
          <w:color w:val="auto"/>
          <w:sz w:val="20"/>
          <w:szCs w:val="20"/>
          <w:lang w:val="en-US" w:eastAsia="zh-CN"/>
        </w:rPr>
        <w:t>Gen</w:t>
      </w:r>
      <w:r>
        <w:rPr>
          <w:rFonts w:hint="default" w:ascii="Times New Roman" w:hAnsi="Times New Roman" w:eastAsia="宋体" w:cs="Times New Roman"/>
          <w:snapToGrid/>
          <w:color w:val="auto"/>
          <w:sz w:val="20"/>
          <w:szCs w:val="20"/>
          <w:lang w:eastAsia="zh-CN"/>
        </w:rPr>
        <w:t>AI literacy, collaboration mechanisms, creative impact, suggests these represent fundamental challenges requiring coordinated, sustained research effort. No single study will resolve them. The field might benefit from more collaborative initiatives: shared measurement instruments, pooled datasets, multi-site replications that can build cumulative knowledge rather than isolated case studies</w:t>
      </w:r>
      <w:r>
        <w:rPr>
          <w:rFonts w:hint="default" w:ascii="Times New Roman" w:hAnsi="Times New Roman" w:eastAsia="宋体" w:cs="Times New Roman"/>
          <w:snapToGrid/>
          <w:color w:val="auto"/>
          <w:sz w:val="20"/>
          <w:szCs w:val="20"/>
          <w:lang w:eastAsia="zh-CN"/>
        </w:rPr>
        <w:fldChar w:fldCharType="begin"/>
      </w:r>
      <w:r>
        <w:rPr>
          <w:rFonts w:hint="eastAsia" w:ascii="Times New Roman" w:hAnsi="Times New Roman" w:eastAsia="宋体" w:cs="Times New Roman"/>
          <w:snapToGrid/>
          <w:color w:val="auto"/>
          <w:sz w:val="20"/>
          <w:szCs w:val="20"/>
          <w:lang w:eastAsia="zh-CN"/>
        </w:rPr>
        <w:instrText xml:space="preserve"> ADDIN ZOTERO_ITEM CSL_CITATION {"citationID":"CUeSFJva","properties":{"formattedCitation":"&lt;sup&gt;51,52&lt;/sup&gt;","plainCitation":"51,52","noteIndex":0},"citationItems":[{"id":1182,"uris":["http://zotero.org/groups/6329368/items/JN7PGZJL"],"itemData":{"id":1182,"type":"article-journal","abstract":"Concerns about the replication crisis and unreliable findings have spread through several fields, including education and psychological research. In some areas of education, researchers have begun to adopt reforms that have proven useful in other fields. These include preregistration, open materials and data, and registered reports. These reforms offer education research a path toward increased credibility and social impact. In this article, we discuss models of large-scale collaborative research practices and how they can be applied to education research. We discuss five types of large-scale collaboration: participating teams run different studies, multiteam collaboration projects, collaborative analysis, preregistered adversarial collaboration, and persistent collaboration. The combination of large-scale collaboration with open and transparent research practices offers education researchers opportunity to test theories, verify what is known about a topic, resolve disagreements, and explore new questions.","container-title":"AERA Open","DOI":"10.1177/2332858419891963","ISSN":"2332-8584","issue":"4","language":"EN","page":"2332858419891963","publisher":"SAGE Publications Inc","source":"SAGE Journals","title":"A Path to Greater Credibility: Large-Scale Collaborative Education Research","title-short":"A Path to Greater Credibility","volume":"5","author":[{"family":"Makel","given":"Matthew C."},{"family":"Smith","given":"Kendal N."},{"family":"McBee","given":"Matthew T."},{"family":"Peters","given":"Scott J."},{"family":"Miller","given":"Erin M."}],"issued":{"date-parts":[["2019",10,1]]}},"label":"page"},{"id":1282,"uris":["http://zotero.org/groups/6329368/items/5CK36J82"],"itemData":{"id":1282,"type":"article-journal","DOI":"10.1111/lang.12434","language":"en","source":"onlinelibrary.wiley.com","title":"A Case for Multisite Second Language Acquisition Research: Challenges, Risks, and Rewards","title-short":"A Case for Multisite Second Language Acquisition Research","URL":"https://onlinelibrary.wiley.com/doi/10.1111/lang.12434","accessed":{"date-parts":[["2026",1,8]]}},"label":"page"}],"schema":"https://github.com/citation-style-language/schema/raw/master/csl-citation.json"} </w:instrText>
      </w:r>
      <w:r>
        <w:rPr>
          <w:rFonts w:hint="default" w:ascii="Times New Roman" w:hAnsi="Times New Roman" w:eastAsia="宋体" w:cs="Times New Roman"/>
          <w:snapToGrid/>
          <w:color w:val="auto"/>
          <w:sz w:val="20"/>
          <w:szCs w:val="20"/>
          <w:lang w:eastAsia="zh-CN"/>
        </w:rPr>
        <w:fldChar w:fldCharType="separate"/>
      </w:r>
      <w:r>
        <w:rPr>
          <w:rFonts w:hint="eastAsia" w:ascii="Times New Roman" w:hAnsi="Times New Roman" w:eastAsia="宋体" w:cs="Times New Roman"/>
          <w:snapToGrid/>
          <w:color w:val="auto"/>
          <w:sz w:val="20"/>
          <w:szCs w:val="20"/>
          <w:vertAlign w:val="superscript"/>
          <w:lang w:eastAsia="zh-CN"/>
        </w:rPr>
        <w:t>51,52</w:t>
      </w:r>
      <w:r>
        <w:rPr>
          <w:rFonts w:hint="default" w:ascii="Times New Roman" w:hAnsi="Times New Roman" w:eastAsia="宋体" w:cs="Times New Roman"/>
          <w:snapToGrid/>
          <w:color w:val="auto"/>
          <w:sz w:val="20"/>
          <w:szCs w:val="20"/>
          <w:lang w:eastAsia="zh-CN"/>
        </w:rPr>
        <w:fldChar w:fldCharType="end"/>
      </w:r>
      <w:r>
        <w:rPr>
          <w:rFonts w:hint="default" w:ascii="Times New Roman" w:hAnsi="Times New Roman" w:eastAsia="宋体" w:cs="Times New Roman"/>
          <w:snapToGrid/>
          <w:color w:val="auto"/>
          <w:sz w:val="20"/>
          <w:szCs w:val="20"/>
          <w:lang w:eastAsia="zh-CN"/>
        </w:rPr>
        <w:t>.</w:t>
      </w:r>
    </w:p>
    <w:p w14:paraId="178D41EE">
      <w:pPr>
        <w:kinsoku/>
        <w:adjustRightInd/>
        <w:snapToGrid/>
        <w:ind w:firstLine="400" w:firstLineChars="200"/>
        <w:jc w:val="both"/>
        <w:textAlignment w:val="auto"/>
        <w:outlineLvl w:val="1"/>
        <w:rPr>
          <w:rFonts w:hint="eastAsia" w:ascii="Times New Roman" w:hAnsi="Times New Roman" w:eastAsia="宋体" w:cs="Times New Roman"/>
          <w:snapToGrid/>
          <w:color w:val="auto"/>
          <w:sz w:val="20"/>
          <w:szCs w:val="20"/>
          <w:lang w:val="en-US" w:eastAsia="zh-CN"/>
        </w:rPr>
      </w:pPr>
      <w:r>
        <w:rPr>
          <w:rFonts w:hint="default" w:ascii="Times New Roman" w:hAnsi="Times New Roman" w:eastAsia="宋体" w:cs="Times New Roman"/>
          <w:snapToGrid/>
          <w:color w:val="auto"/>
          <w:sz w:val="20"/>
          <w:szCs w:val="20"/>
          <w:lang w:eastAsia="zh-CN"/>
        </w:rPr>
        <w:t>Of course, this analysis has clear limitations. Twenty studies constitute a modest sample, and</w:t>
      </w:r>
      <w:r>
        <w:rPr>
          <w:rFonts w:hint="eastAsia" w:ascii="Times New Roman" w:hAnsi="Times New Roman" w:eastAsia="宋体" w:cs="Times New Roman"/>
          <w:snapToGrid/>
          <w:color w:val="auto"/>
          <w:sz w:val="20"/>
          <w:szCs w:val="20"/>
          <w:lang w:val="en-US" w:eastAsia="zh-CN"/>
        </w:rPr>
        <w:t xml:space="preserve"> </w:t>
      </w:r>
      <w:r>
        <w:rPr>
          <w:rFonts w:hint="default" w:ascii="Times New Roman" w:hAnsi="Times New Roman" w:eastAsia="宋体" w:cs="Times New Roman"/>
          <w:snapToGrid/>
          <w:color w:val="auto"/>
          <w:sz w:val="20"/>
          <w:szCs w:val="20"/>
          <w:lang w:eastAsia="zh-CN"/>
        </w:rPr>
        <w:t>our binary coding of gap presence necessarily simplifies what researchers actually wrote, losing nuances in how extensively different studies addressed various concerns</w:t>
      </w:r>
      <w:r>
        <w:rPr>
          <w:rFonts w:hint="default" w:ascii="Times New Roman" w:hAnsi="Times New Roman" w:eastAsia="宋体" w:cs="Times New Roman"/>
          <w:snapToGrid/>
          <w:color w:val="auto"/>
          <w:sz w:val="20"/>
          <w:szCs w:val="20"/>
          <w:lang w:eastAsia="zh-CN"/>
        </w:rPr>
        <w:fldChar w:fldCharType="begin"/>
      </w:r>
      <w:r>
        <w:rPr>
          <w:rFonts w:hint="eastAsia" w:ascii="Times New Roman" w:hAnsi="Times New Roman" w:eastAsia="宋体" w:cs="Times New Roman"/>
          <w:snapToGrid/>
          <w:color w:val="auto"/>
          <w:sz w:val="20"/>
          <w:szCs w:val="20"/>
          <w:lang w:eastAsia="zh-CN"/>
        </w:rPr>
        <w:instrText xml:space="preserve"> ADDIN ZOTERO_ITEM CSL_CITATION {"citationID":"Bp7Ab39d","properties":{"formattedCitation":"&lt;sup&gt;53&lt;/sup&gt;","plainCitation":"53","noteIndex":0},"citationItems":[{"id":1192,"uris":["http://zotero.org/groups/6329368/items/3EEIDHVS"],"itemData":{"id":1192,"type":"article-journal","abstract":", Content analysis is a highly flexible research method that has been widely used in library and information science (LIS) studies with varying research goals and objectives. The research method is applied in qualitative, quantitative, and sometimes mixed modes of research frameworks and employs a wide range of analytical techniques to generate findings and put them into context. This article characterizes content analysis as a systematic, rigorous approach to analyzing documents obtained or generated in the course of research. It briefly describes the steps involved in content analysis, differentiates between quantitative and qualitative content analysis, and shows that content analysis serves the purposes of both quantitative research and qualitative research. The authors draw on selected LIS studies that have used content analysis to illustrate the concepts addressed in the article. The article also serves as a gateway to methodological books and articles that provide more detail about aspects of content analysis discussed only briefly in the article.","container-title":"Library Trends","ISSN":"1559-0682","issue":"1","page":"22-45","publisher":"Johns Hopkins University Press","source":"Project MUSE","title":"Content Analysis: A Flexible Methodology","title-short":"Content Analysis","volume":"55","author":[{"family":"White","given":"Marilyn Domas"},{"family":"Marsh","given":"Emily E"}],"issued":{"date-parts":[["2006"]]}}}],"schema":"https://github.com/citation-style-language/schema/raw/master/csl-citation.json"} </w:instrText>
      </w:r>
      <w:r>
        <w:rPr>
          <w:rFonts w:hint="default" w:ascii="Times New Roman" w:hAnsi="Times New Roman" w:eastAsia="宋体" w:cs="Times New Roman"/>
          <w:snapToGrid/>
          <w:color w:val="auto"/>
          <w:sz w:val="20"/>
          <w:szCs w:val="20"/>
          <w:lang w:eastAsia="zh-CN"/>
        </w:rPr>
        <w:fldChar w:fldCharType="separate"/>
      </w:r>
      <w:r>
        <w:rPr>
          <w:rFonts w:hint="eastAsia" w:ascii="Times New Roman" w:hAnsi="Times New Roman" w:eastAsia="宋体" w:cs="Times New Roman"/>
          <w:snapToGrid/>
          <w:color w:val="auto"/>
          <w:sz w:val="20"/>
          <w:szCs w:val="20"/>
          <w:vertAlign w:val="superscript"/>
          <w:lang w:eastAsia="zh-CN"/>
        </w:rPr>
        <w:t>53</w:t>
      </w:r>
      <w:r>
        <w:rPr>
          <w:rFonts w:hint="default" w:ascii="Times New Roman" w:hAnsi="Times New Roman" w:eastAsia="宋体" w:cs="Times New Roman"/>
          <w:snapToGrid/>
          <w:color w:val="auto"/>
          <w:sz w:val="20"/>
          <w:szCs w:val="20"/>
          <w:lang w:eastAsia="zh-CN"/>
        </w:rPr>
        <w:fldChar w:fldCharType="end"/>
      </w:r>
      <w:r>
        <w:rPr>
          <w:rFonts w:hint="eastAsia" w:ascii="Times New Roman" w:hAnsi="Times New Roman" w:eastAsia="宋体" w:cs="Times New Roman"/>
          <w:snapToGrid/>
          <w:color w:val="auto"/>
          <w:sz w:val="20"/>
          <w:szCs w:val="20"/>
          <w:lang w:val="en-US" w:eastAsia="zh-CN"/>
        </w:rPr>
        <w:t xml:space="preserve">. </w:t>
      </w:r>
      <w:r>
        <w:rPr>
          <w:rFonts w:hint="default" w:ascii="Times New Roman" w:hAnsi="Times New Roman" w:eastAsia="宋体" w:cs="Times New Roman"/>
          <w:snapToGrid/>
          <w:color w:val="auto"/>
          <w:sz w:val="20"/>
          <w:szCs w:val="20"/>
          <w:lang w:eastAsia="zh-CN"/>
        </w:rPr>
        <w:t>Some studies discussed certain gaps extensively while others mentioned them in passing,</w:t>
      </w:r>
      <w:r>
        <w:rPr>
          <w:rFonts w:hint="eastAsia" w:ascii="Times New Roman" w:hAnsi="Times New Roman" w:eastAsia="宋体" w:cs="Times New Roman"/>
          <w:snapToGrid/>
          <w:color w:val="auto"/>
          <w:sz w:val="20"/>
          <w:szCs w:val="20"/>
          <w:lang w:val="en-US" w:eastAsia="zh-CN"/>
        </w:rPr>
        <w:t xml:space="preserve"> </w:t>
      </w:r>
      <w:r>
        <w:rPr>
          <w:rFonts w:hint="default" w:ascii="Times New Roman" w:hAnsi="Times New Roman" w:eastAsia="宋体" w:cs="Times New Roman"/>
          <w:snapToGrid/>
          <w:color w:val="auto"/>
          <w:sz w:val="20"/>
          <w:szCs w:val="20"/>
          <w:lang w:eastAsia="zh-CN"/>
        </w:rPr>
        <w:t>but our coding treats these equivalently, potentially obscuring important variations in depth of engagement.</w:t>
      </w:r>
      <w:r>
        <w:rPr>
          <w:rFonts w:hint="eastAsia" w:ascii="Times New Roman" w:hAnsi="Times New Roman" w:eastAsia="宋体" w:cs="Times New Roman"/>
          <w:snapToGrid/>
          <w:color w:val="auto"/>
          <w:sz w:val="20"/>
          <w:szCs w:val="20"/>
          <w:lang w:val="en-US" w:eastAsia="zh-CN"/>
        </w:rPr>
        <w:t xml:space="preserve"> </w:t>
      </w:r>
      <w:r>
        <w:rPr>
          <w:rFonts w:hint="default" w:ascii="Times New Roman" w:hAnsi="Times New Roman" w:eastAsia="宋体" w:cs="Times New Roman"/>
          <w:snapToGrid/>
          <w:color w:val="auto"/>
          <w:sz w:val="20"/>
          <w:szCs w:val="20"/>
          <w:lang w:eastAsia="zh-CN"/>
        </w:rPr>
        <w:t>The exposure context variable itself is a rough proxy for what are surely more nuanced instructional situations.</w:t>
      </w:r>
      <w:r>
        <w:rPr>
          <w:rFonts w:hint="eastAsia" w:ascii="Times New Roman" w:hAnsi="Times New Roman" w:eastAsia="宋体" w:cs="Times New Roman"/>
          <w:snapToGrid/>
          <w:color w:val="auto"/>
          <w:sz w:val="20"/>
          <w:szCs w:val="20"/>
          <w:lang w:val="en-US" w:eastAsia="zh-CN"/>
        </w:rPr>
        <w:t xml:space="preserve"> </w:t>
      </w:r>
      <w:r>
        <w:rPr>
          <w:rFonts w:hint="default" w:ascii="Times New Roman" w:hAnsi="Times New Roman" w:eastAsia="宋体" w:cs="Times New Roman"/>
          <w:snapToGrid/>
          <w:color w:val="auto"/>
          <w:sz w:val="20"/>
          <w:szCs w:val="20"/>
          <w:lang w:eastAsia="zh-CN"/>
        </w:rPr>
        <w:t>Moreover, it is crucial to recognize that correlation, even when statistically suggestive, does not establish causation</w:t>
      </w:r>
      <w:r>
        <w:rPr>
          <w:rFonts w:hint="default" w:ascii="Times New Roman" w:hAnsi="Times New Roman" w:eastAsia="宋体" w:cs="Times New Roman"/>
          <w:snapToGrid/>
          <w:color w:val="auto"/>
          <w:sz w:val="20"/>
          <w:szCs w:val="20"/>
          <w:lang w:eastAsia="zh-CN"/>
        </w:rPr>
        <w:fldChar w:fldCharType="begin"/>
      </w:r>
      <w:r>
        <w:rPr>
          <w:rFonts w:hint="eastAsia" w:ascii="Times New Roman" w:hAnsi="Times New Roman" w:eastAsia="宋体" w:cs="Times New Roman"/>
          <w:snapToGrid/>
          <w:color w:val="auto"/>
          <w:sz w:val="20"/>
          <w:szCs w:val="20"/>
          <w:lang w:eastAsia="zh-CN"/>
        </w:rPr>
        <w:instrText xml:space="preserve"> ADDIN ZOTERO_ITEM CSL_CITATION {"citationID":"schXcgX1","properties":{"formattedCitation":"&lt;sup&gt;54&lt;/sup&gt;","plainCitation":"54","noteIndex":0},"citationItems":[{"id":1190,"uris":["http://zotero.org/groups/6329368/items/NDT7JY9C"],"itemData":{"id":1190,"type":"article-journal","abstract":"Correlation does not imply causation; but often, observational data are the only option, even though the research question at hand involves causality. This article discusses causal inference based on observational data, introducing readers to graphical causal models that can provide a powerful tool for thinking more clearly about the interrelations between variables. Topics covered include the rationale behind the statistical control of third variables, common procedures for statistical control, and what can go wrong during their implementation. Certain types of third variables—colliders and mediators—should not be controlled for because that can actually move the estimate of an association away from the value of the causal effect of interest. More subtle variations of such harmful control include using unrepresentative samples, which can undermine the validity of causal conclusions, and statistically controlling for mediators. Drawing valid causal inferences on the basis of observational data is not a mechanistic procedure but rather always depends on assumptions that require domain knowledge and that can be more or less plausible. However, this caveat holds not only for research based on observational data, but for all empirical research endeavors.","container-title":"Advances in Methods and Practices in Psychological Science","DOI":"10.1177/2515245917745629","ISSN":"2515-2459","issue":"1","language":"EN","page":"27-42","publisher":"SAGE Publications Inc","source":"SAGE Journals","title":"Thinking Clearly About Correlations and Causation: Graphical Causal Models for Observational Data","title-short":"Thinking Clearly About Correlations and Causation","volume":"1","author":[{"family":"Rohrer","given":"Julia M."}],"issued":{"date-parts":[["2018",3,1]]}}}],"schema":"https://github.com/citation-style-language/schema/raw/master/csl-citation.json"} </w:instrText>
      </w:r>
      <w:r>
        <w:rPr>
          <w:rFonts w:hint="default" w:ascii="Times New Roman" w:hAnsi="Times New Roman" w:eastAsia="宋体" w:cs="Times New Roman"/>
          <w:snapToGrid/>
          <w:color w:val="auto"/>
          <w:sz w:val="20"/>
          <w:szCs w:val="20"/>
          <w:lang w:eastAsia="zh-CN"/>
        </w:rPr>
        <w:fldChar w:fldCharType="separate"/>
      </w:r>
      <w:r>
        <w:rPr>
          <w:rFonts w:hint="eastAsia" w:ascii="Times New Roman" w:hAnsi="Times New Roman" w:eastAsia="宋体" w:cs="Times New Roman"/>
          <w:snapToGrid/>
          <w:color w:val="auto"/>
          <w:sz w:val="20"/>
          <w:szCs w:val="20"/>
          <w:vertAlign w:val="superscript"/>
          <w:lang w:eastAsia="zh-CN"/>
        </w:rPr>
        <w:t>54</w:t>
      </w:r>
      <w:r>
        <w:rPr>
          <w:rFonts w:hint="default" w:ascii="Times New Roman" w:hAnsi="Times New Roman" w:eastAsia="宋体" w:cs="Times New Roman"/>
          <w:snapToGrid/>
          <w:color w:val="auto"/>
          <w:sz w:val="20"/>
          <w:szCs w:val="20"/>
          <w:lang w:eastAsia="zh-CN"/>
        </w:rPr>
        <w:fldChar w:fldCharType="end"/>
      </w:r>
      <w:r>
        <w:rPr>
          <w:rFonts w:hint="default" w:ascii="Times New Roman" w:hAnsi="Times New Roman" w:eastAsia="宋体" w:cs="Times New Roman"/>
          <w:snapToGrid/>
          <w:color w:val="auto"/>
          <w:sz w:val="20"/>
          <w:szCs w:val="20"/>
          <w:lang w:eastAsia="zh-CN"/>
        </w:rPr>
        <w:t>.</w:t>
      </w:r>
      <w:r>
        <w:rPr>
          <w:rFonts w:hint="eastAsia" w:ascii="Times New Roman" w:hAnsi="Times New Roman" w:eastAsia="宋体" w:cs="Times New Roman"/>
          <w:snapToGrid/>
          <w:color w:val="auto"/>
          <w:sz w:val="20"/>
          <w:szCs w:val="20"/>
          <w:lang w:val="en-US" w:eastAsia="zh-CN"/>
        </w:rPr>
        <w:t xml:space="preserve"> </w:t>
      </w:r>
      <w:r>
        <w:rPr>
          <w:rFonts w:hint="default" w:ascii="Times New Roman" w:hAnsi="Times New Roman" w:eastAsia="宋体" w:cs="Times New Roman"/>
          <w:snapToGrid/>
          <w:color w:val="auto"/>
          <w:sz w:val="20"/>
          <w:szCs w:val="20"/>
          <w:lang w:eastAsia="zh-CN"/>
        </w:rPr>
        <w:t>While we can observe that ethical gaps appear more frequently in certain contexts, this observation alone cannot demonstrate that the context itself produces the awareness; it remains possible that other factors, such as researcher backgrounds or publication venues, are driving the pattern</w:t>
      </w:r>
      <w:r>
        <w:rPr>
          <w:rFonts w:hint="default" w:ascii="Times New Roman" w:hAnsi="Times New Roman" w:eastAsia="宋体" w:cs="Times New Roman"/>
          <w:snapToGrid/>
          <w:color w:val="auto"/>
          <w:sz w:val="20"/>
          <w:szCs w:val="20"/>
          <w:lang w:eastAsia="zh-CN"/>
        </w:rPr>
        <w:fldChar w:fldCharType="begin"/>
      </w:r>
      <w:r>
        <w:rPr>
          <w:rFonts w:hint="eastAsia" w:ascii="Times New Roman" w:hAnsi="Times New Roman" w:eastAsia="宋体" w:cs="Times New Roman"/>
          <w:snapToGrid/>
          <w:color w:val="auto"/>
          <w:sz w:val="20"/>
          <w:szCs w:val="20"/>
          <w:lang w:eastAsia="zh-CN"/>
        </w:rPr>
        <w:instrText xml:space="preserve"> ADDIN ZOTERO_ITEM CSL_CITATION {"citationID":"xjfUu3zs","properties":{"formattedCitation":"&lt;sup&gt;55,56&lt;/sup&gt;","plainCitation":"55,56","noteIndex":0},"citationItems":[{"id":1218,"uris":["http://zotero.org/groups/6329368/items/6IL2SKVI"],"itemData":{"id":1218,"type":"article-journal","abstract":"Meta-analysis has received a mixed reception since the outset. Some people have rejected what they see as exercises in “mega-silliness,”1 while the purveyors of a highly distinguished series of meta-analyses of perinatal medical care2 have been dismissed as “an obstetrical Baader-Meinhof gang.”3 To some clinicians objecting to the findings of meta-analyses, “a tool has become a weapon.”4 At the other end of the spectrum, the application of a technique that basically consists of calculating a weighted average has been hailed as “Newtonian,”5 and it has been suggested that meta-analysis has left no place for the narrative review article.6 The truth is likely to lie somewhere between these extreme views.\n\n#### Summary points\n\nThat meta-analysis holds potential problems can be illustrated by contrasting the conclusions of two meta-analyses comparing low molecular weight heparins and standard heparin in the prevention of thrombosis after surgery.7 8 One group concluded that “low molecular weight …","container-title":"BMJ","DOI":"10.1136/bmj.316.7124.61","ISSN":"0959-8138, 1468-5833","issue":"7124","journalAbbreviation":"BMJ","language":"en","license":"© 1998 BMJ Publishing Group Ltd.","page":"61-66","PMID":"9451274","publisher":"British Medical Journal Publishing Group","section":"Education and debate","source":"www.bmj.com","title":"meta-analysis bias in location and selection of studies","volume":"316","author":[{"family":"Egger","given":"Matthias"},{"family":"Smith","given":"George Davey"}],"issued":{"date-parts":[["1998",1,3]]}},"label":"page"},{"id":1224,"uris":["http://zotero.org/groups/6329368/items/Z73CE53M"],"itemData":{"id":1224,"type":"article-journal","container-title":"The Lancet","DOI":"10.1016/S0140-6736(02)07451-2","ISSN":"0140-6736, 1474-547X","issue":"9302","journalAbbreviation":"The Lancet","language":"English","page":"248-252","PMID":"11812579","publisher":"Elsevier","source":"www.thelancet.com","title":"Bias and causal associations in observational research","volume":"359","author":[{"family":"Grimes","given":"David A."},{"family":"Schulz","given":"Kenneth F."}],"issued":{"date-parts":[["2002",1,19]]}},"label":"page"}],"schema":"https://github.com/citation-style-language/schema/raw/master/csl-citation.json"} </w:instrText>
      </w:r>
      <w:r>
        <w:rPr>
          <w:rFonts w:hint="default" w:ascii="Times New Roman" w:hAnsi="Times New Roman" w:eastAsia="宋体" w:cs="Times New Roman"/>
          <w:snapToGrid/>
          <w:color w:val="auto"/>
          <w:sz w:val="20"/>
          <w:szCs w:val="20"/>
          <w:lang w:eastAsia="zh-CN"/>
        </w:rPr>
        <w:fldChar w:fldCharType="separate"/>
      </w:r>
      <w:r>
        <w:rPr>
          <w:rFonts w:hint="eastAsia" w:ascii="Times New Roman" w:hAnsi="Times New Roman" w:eastAsia="宋体" w:cs="Times New Roman"/>
          <w:snapToGrid/>
          <w:color w:val="auto"/>
          <w:sz w:val="20"/>
          <w:szCs w:val="20"/>
          <w:vertAlign w:val="superscript"/>
          <w:lang w:eastAsia="zh-CN"/>
        </w:rPr>
        <w:t>55,56</w:t>
      </w:r>
      <w:r>
        <w:rPr>
          <w:rFonts w:hint="default" w:ascii="Times New Roman" w:hAnsi="Times New Roman" w:eastAsia="宋体" w:cs="Times New Roman"/>
          <w:snapToGrid/>
          <w:color w:val="auto"/>
          <w:sz w:val="20"/>
          <w:szCs w:val="20"/>
          <w:lang w:eastAsia="zh-CN"/>
        </w:rPr>
        <w:fldChar w:fldCharType="end"/>
      </w:r>
      <w:r>
        <w:rPr>
          <w:rFonts w:hint="eastAsia" w:ascii="Times New Roman" w:hAnsi="Times New Roman" w:eastAsia="宋体" w:cs="Times New Roman"/>
          <w:snapToGrid/>
          <w:color w:val="auto"/>
          <w:sz w:val="20"/>
          <w:szCs w:val="20"/>
          <w:lang w:val="en-US" w:eastAsia="zh-CN"/>
        </w:rPr>
        <w:t>.</w:t>
      </w:r>
    </w:p>
    <w:p w14:paraId="2265E52E">
      <w:pPr>
        <w:kinsoku/>
        <w:adjustRightInd/>
        <w:snapToGrid/>
        <w:ind w:firstLine="400" w:firstLineChars="200"/>
        <w:jc w:val="both"/>
        <w:textAlignment w:val="auto"/>
        <w:outlineLvl w:val="1"/>
        <w:rPr>
          <w:rFonts w:hint="eastAsia" w:ascii="Times New Roman" w:hAnsi="Times New Roman" w:eastAsia="宋体" w:cs="Times New Roman"/>
          <w:snapToGrid/>
          <w:color w:val="auto"/>
          <w:sz w:val="20"/>
          <w:szCs w:val="20"/>
          <w:lang w:eastAsia="zh-CN"/>
        </w:rPr>
      </w:pPr>
      <w:r>
        <w:rPr>
          <w:rFonts w:hint="default" w:ascii="Times New Roman" w:hAnsi="Times New Roman" w:eastAsia="宋体" w:cs="Times New Roman"/>
          <w:snapToGrid/>
          <w:color w:val="auto"/>
          <w:sz w:val="20"/>
          <w:szCs w:val="20"/>
          <w:lang w:eastAsia="zh-CN"/>
        </w:rPr>
        <w:t>Nonetheless, these findings provide a systematic examination of the field’s developmental trajectory. The research gaps identified are not merely wish lists; they reflect genuine uncertainties and unresolved tensions in current practice</w:t>
      </w:r>
      <w:r>
        <w:rPr>
          <w:rFonts w:hint="default" w:ascii="Times New Roman" w:hAnsi="Times New Roman" w:eastAsia="宋体" w:cs="Times New Roman"/>
          <w:snapToGrid/>
          <w:color w:val="auto"/>
          <w:sz w:val="20"/>
          <w:szCs w:val="20"/>
          <w:lang w:eastAsia="zh-CN"/>
        </w:rPr>
        <w:fldChar w:fldCharType="begin"/>
      </w:r>
      <w:r>
        <w:rPr>
          <w:rFonts w:hint="eastAsia" w:ascii="Times New Roman" w:hAnsi="Times New Roman" w:eastAsia="宋体" w:cs="Times New Roman"/>
          <w:snapToGrid/>
          <w:color w:val="auto"/>
          <w:sz w:val="20"/>
          <w:szCs w:val="20"/>
          <w:lang w:eastAsia="zh-CN"/>
        </w:rPr>
        <w:instrText xml:space="preserve"> ADDIN ZOTERO_ITEM CSL_CITATION {"citationID":"ZIB6GXmE","properties":{"formattedCitation":"&lt;sup&gt;57&lt;/sup&gt;","plainCitation":"57","noteIndex":0},"citationItems":[{"id":1195,"uris":["http://zotero.org/groups/6329368/items/N5QTQGIH"],"itemData":{"id":1195,"type":"article-journal","container-title":"Journal of Clinical Epidemiology","DOI":"10.1016/j.jclinepi.2011.06.009","ISSN":"0895-4356, 1878-5921","issue":"12","journalAbbreviation":"Journal of Clinical Epidemiology","language":"English","page":"1325-1330","PMID":"21937195","publisher":"Elsevier","source":"www.jclinepi.com","title":"Development of a framework to identify research gaps from systematic reviews","volume":"64","author":[{"family":"Robinson","given":"Karen A."},{"family":"Saldanha","given":"Ian J."},{"family":"Mckoy","given":"Naomi A."}],"issued":{"date-parts":[["2011",12,1]]}}}],"schema":"https://github.com/citation-style-language/schema/raw/master/csl-citation.json"} </w:instrText>
      </w:r>
      <w:r>
        <w:rPr>
          <w:rFonts w:hint="default" w:ascii="Times New Roman" w:hAnsi="Times New Roman" w:eastAsia="宋体" w:cs="Times New Roman"/>
          <w:snapToGrid/>
          <w:color w:val="auto"/>
          <w:sz w:val="20"/>
          <w:szCs w:val="20"/>
          <w:lang w:eastAsia="zh-CN"/>
        </w:rPr>
        <w:fldChar w:fldCharType="separate"/>
      </w:r>
      <w:r>
        <w:rPr>
          <w:rFonts w:hint="eastAsia" w:ascii="Times New Roman" w:hAnsi="Times New Roman" w:eastAsia="宋体" w:cs="Times New Roman"/>
          <w:snapToGrid/>
          <w:color w:val="auto"/>
          <w:sz w:val="20"/>
          <w:szCs w:val="20"/>
          <w:vertAlign w:val="superscript"/>
          <w:lang w:eastAsia="zh-CN"/>
        </w:rPr>
        <w:t>57</w:t>
      </w:r>
      <w:r>
        <w:rPr>
          <w:rFonts w:hint="default" w:ascii="Times New Roman" w:hAnsi="Times New Roman" w:eastAsia="宋体" w:cs="Times New Roman"/>
          <w:snapToGrid/>
          <w:color w:val="auto"/>
          <w:sz w:val="20"/>
          <w:szCs w:val="20"/>
          <w:lang w:eastAsia="zh-CN"/>
        </w:rPr>
        <w:fldChar w:fldCharType="end"/>
      </w:r>
      <w:r>
        <w:rPr>
          <w:rFonts w:hint="default" w:ascii="Times New Roman" w:hAnsi="Times New Roman" w:eastAsia="宋体" w:cs="Times New Roman"/>
          <w:snapToGrid/>
          <w:color w:val="auto"/>
          <w:sz w:val="20"/>
          <w:szCs w:val="20"/>
          <w:lang w:eastAsia="zh-CN"/>
        </w:rPr>
        <w:t>. The consistency of certain core concerns,</w:t>
      </w:r>
      <w:r>
        <w:rPr>
          <w:rFonts w:hint="eastAsia" w:ascii="Times New Roman" w:hAnsi="Times New Roman" w:eastAsia="宋体" w:cs="Times New Roman"/>
          <w:snapToGrid/>
          <w:color w:val="auto"/>
          <w:sz w:val="20"/>
          <w:szCs w:val="20"/>
          <w:lang w:val="en-US" w:eastAsia="zh-CN"/>
        </w:rPr>
        <w:t xml:space="preserve"> </w:t>
      </w:r>
      <w:r>
        <w:rPr>
          <w:rFonts w:hint="default" w:ascii="Times New Roman" w:hAnsi="Times New Roman" w:eastAsia="宋体" w:cs="Times New Roman"/>
          <w:snapToGrid/>
          <w:color w:val="auto"/>
          <w:sz w:val="20"/>
          <w:szCs w:val="20"/>
          <w:lang w:eastAsia="zh-CN"/>
        </w:rPr>
        <w:t>which include human-AI collaboration mechanisms and longitudinal impact, across diverse studies underscores that these are not idiosyncratic preferences but a shared recognition of fundamental knowledge deficits</w:t>
      </w:r>
      <w:r>
        <w:rPr>
          <w:rFonts w:hint="default" w:ascii="Times New Roman" w:hAnsi="Times New Roman" w:eastAsia="宋体" w:cs="Times New Roman"/>
          <w:snapToGrid/>
          <w:color w:val="auto"/>
          <w:sz w:val="20"/>
          <w:szCs w:val="20"/>
          <w:lang w:eastAsia="zh-CN"/>
        </w:rPr>
        <w:fldChar w:fldCharType="begin"/>
      </w:r>
      <w:r>
        <w:rPr>
          <w:rFonts w:hint="eastAsia" w:ascii="Times New Roman" w:hAnsi="Times New Roman" w:eastAsia="宋体" w:cs="Times New Roman"/>
          <w:snapToGrid/>
          <w:color w:val="auto"/>
          <w:sz w:val="20"/>
          <w:szCs w:val="20"/>
          <w:lang w:eastAsia="zh-CN"/>
        </w:rPr>
        <w:instrText xml:space="preserve"> ADDIN ZOTERO_ITEM CSL_CITATION {"citationID":"siOGuAQm","properties":{"formattedCitation":"&lt;sup&gt;8&lt;/sup&gt;","plainCitation":"8","noteIndex":0},"citationItems":[{"id":1232,"uris":["http://zotero.org/groups/6329368/items/MGT659P6"],"itemData":{"id":1232,"type":"article-journal","abstract":"Generative artificial intelligence (GenAI) has recently attracted attention from literature and organisations, especially due to advances in machine learning techniques. However, research on GenAI in creative contexts remains in its early stages, with few attempts made to assess the current body of research or synthesise the existing knowledge in this area. To address this gap, this paper employs a systematic literature review of 64 studies to identify methods, research trends and key thematic insights shaping the current understanding of GenAI in creative contexts. The findings of this systematic literature review emphasise the rapid development of research on GenAI in creative contexts. The analysis highlights key factors influencing the adoption and impact of GenAI in creative processes, as well as the implications for creative outcomes and industry practices. From this analysis, several potential directions for future research emerge, including the long-term effects of GenAI on creative processes, socio-economic implications for creative industries, and frameworks for ethical use, and perception of GenAI-generated content.","container-title":"Management Review Quarterly","DOI":"10.1007/s11301-025-00494-9","ISSN":"2198-1639","journalAbbreviation":"Manag Rev Q","language":"en","source":"Springer Link","title":"Generative artificial intelligence in creative contexts: a systematic review and future research agenda","title-short":"Generative artificial intelligence in creative contexts","URL":"https://doi.org/10.1007/s11301-025-00494-9","author":[{"family":"Heigl","given":"Rebecca"}],"accessed":{"date-parts":[["2026",1,8]]},"issued":{"date-parts":[["2025",3,14]]}}}],"schema":"https://github.com/citation-style-language/schema/raw/master/csl-citation.json"} </w:instrText>
      </w:r>
      <w:r>
        <w:rPr>
          <w:rFonts w:hint="default" w:ascii="Times New Roman" w:hAnsi="Times New Roman" w:eastAsia="宋体" w:cs="Times New Roman"/>
          <w:snapToGrid/>
          <w:color w:val="auto"/>
          <w:sz w:val="20"/>
          <w:szCs w:val="20"/>
          <w:lang w:eastAsia="zh-CN"/>
        </w:rPr>
        <w:fldChar w:fldCharType="separate"/>
      </w:r>
      <w:r>
        <w:rPr>
          <w:rFonts w:hint="eastAsia" w:ascii="Times New Roman" w:hAnsi="Times New Roman" w:eastAsia="宋体" w:cs="Times New Roman"/>
          <w:snapToGrid/>
          <w:color w:val="auto"/>
          <w:sz w:val="20"/>
          <w:szCs w:val="20"/>
          <w:vertAlign w:val="superscript"/>
          <w:lang w:eastAsia="zh-CN"/>
        </w:rPr>
        <w:t>8</w:t>
      </w:r>
      <w:r>
        <w:rPr>
          <w:rFonts w:hint="default" w:ascii="Times New Roman" w:hAnsi="Times New Roman" w:eastAsia="宋体" w:cs="Times New Roman"/>
          <w:snapToGrid/>
          <w:color w:val="auto"/>
          <w:sz w:val="20"/>
          <w:szCs w:val="20"/>
          <w:lang w:eastAsia="zh-CN"/>
        </w:rPr>
        <w:fldChar w:fldCharType="end"/>
      </w:r>
      <w:r>
        <w:rPr>
          <w:rFonts w:hint="default" w:ascii="Times New Roman" w:hAnsi="Times New Roman" w:eastAsia="宋体" w:cs="Times New Roman"/>
          <w:snapToGrid/>
          <w:color w:val="auto"/>
          <w:sz w:val="20"/>
          <w:szCs w:val="20"/>
          <w:lang w:eastAsia="zh-CN"/>
        </w:rPr>
        <w:t>. Meanwhile, the contextual variation in other gaps reminds us that research priorities need not be uniform to be valid, as different educational contexts may legitimately give rise to distinct research questions</w:t>
      </w:r>
      <w:r>
        <w:rPr>
          <w:rFonts w:hint="default" w:ascii="Times New Roman" w:hAnsi="Times New Roman" w:eastAsia="宋体" w:cs="Times New Roman"/>
          <w:snapToGrid/>
          <w:color w:val="auto"/>
          <w:sz w:val="20"/>
          <w:szCs w:val="20"/>
          <w:lang w:eastAsia="zh-CN"/>
        </w:rPr>
        <w:fldChar w:fldCharType="begin"/>
      </w:r>
      <w:r>
        <w:rPr>
          <w:rFonts w:hint="eastAsia" w:ascii="Times New Roman" w:hAnsi="Times New Roman" w:eastAsia="宋体" w:cs="Times New Roman"/>
          <w:snapToGrid/>
          <w:color w:val="auto"/>
          <w:sz w:val="20"/>
          <w:szCs w:val="20"/>
          <w:lang w:eastAsia="zh-CN"/>
        </w:rPr>
        <w:instrText xml:space="preserve"> ADDIN ZOTERO_ITEM CSL_CITATION {"citationID":"AVfe5qou","properties":{"formattedCitation":"&lt;sup&gt;58&lt;/sup&gt;","plainCitation":"58","noteIndex":0},"citationItems":[{"id":1194,"uris":["http://zotero.org/groups/6329368/items/R49KD5DG"],"itemData":{"id":1194,"type":"article-journal","abstract":"Notions of research quality are contextual in many respects: they vary between fields of research, between review contexts and between policy contexts. Yet, the role of these co-existing notions in research, and in research policy, is poorly understood. In this paper we offer a novel framework to study and understand research quality across three key dimensions. First, we distinguish between quality notions that originate in research fields (Field-type) and in research policy spaces (Space-type). Second, drawing on existing studies, we identify three attributes (often) considered important for ‘good research’: its originality/novelty, plausibility/reliability, and value or usefulness. Third, we identify five different sites where notions of research quality emerge, are contested and institutionalised: researchers themselves, knowledge communities, research organisations, funding agencies and national policy arenas. We argue that the framework helps us understand processes and mechanisms through which ‘good research’ is recognised as well as tensions arising from the co-existence of (potentially) conflicting quality notions.","container-title":"Minerva","DOI":"10.1007/s11024-019-09385-2","ISSN":"1573-1871","issue":"1","journalAbbreviation":"Minerva","language":"en","page":"115-137","source":"Springer Link","title":"Co-existing Notions of Research Quality: A Framework to Study Context-specific Understandings of Good Research","title-short":"Co-existing Notions of Research Quality","volume":"58","author":[{"family":"Langfeldt","given":"Liv"},{"family":"Nedeva","given":"Maria"},{"family":"Sörlin","given":"Sverker"},{"family":"Thomas","given":"Duncan A."}],"issued":{"date-parts":[["2020",3,1]]}}}],"schema":"https://github.com/citation-style-language/schema/raw/master/csl-citation.json"} </w:instrText>
      </w:r>
      <w:r>
        <w:rPr>
          <w:rFonts w:hint="default" w:ascii="Times New Roman" w:hAnsi="Times New Roman" w:eastAsia="宋体" w:cs="Times New Roman"/>
          <w:snapToGrid/>
          <w:color w:val="auto"/>
          <w:sz w:val="20"/>
          <w:szCs w:val="20"/>
          <w:lang w:eastAsia="zh-CN"/>
        </w:rPr>
        <w:fldChar w:fldCharType="separate"/>
      </w:r>
      <w:r>
        <w:rPr>
          <w:rFonts w:hint="eastAsia" w:ascii="Times New Roman" w:hAnsi="Times New Roman" w:eastAsia="宋体" w:cs="Times New Roman"/>
          <w:snapToGrid/>
          <w:color w:val="auto"/>
          <w:sz w:val="20"/>
          <w:szCs w:val="20"/>
          <w:vertAlign w:val="superscript"/>
          <w:lang w:eastAsia="zh-CN"/>
        </w:rPr>
        <w:t>58</w:t>
      </w:r>
      <w:r>
        <w:rPr>
          <w:rFonts w:hint="default" w:ascii="Times New Roman" w:hAnsi="Times New Roman" w:eastAsia="宋体" w:cs="Times New Roman"/>
          <w:snapToGrid/>
          <w:color w:val="auto"/>
          <w:sz w:val="20"/>
          <w:szCs w:val="20"/>
          <w:lang w:eastAsia="zh-CN"/>
        </w:rPr>
        <w:fldChar w:fldCharType="end"/>
      </w:r>
      <w:r>
        <w:rPr>
          <w:rFonts w:hint="default" w:ascii="Times New Roman" w:hAnsi="Times New Roman" w:eastAsia="宋体" w:cs="Times New Roman"/>
          <w:snapToGrid/>
          <w:color w:val="auto"/>
          <w:sz w:val="20"/>
          <w:szCs w:val="20"/>
          <w:lang w:eastAsia="zh-CN"/>
        </w:rPr>
        <w:t>.</w:t>
      </w:r>
    </w:p>
    <w:p w14:paraId="7054820F">
      <w:pPr>
        <w:kinsoku/>
        <w:adjustRightInd/>
        <w:snapToGrid/>
        <w:ind w:firstLine="400" w:firstLineChars="200"/>
        <w:jc w:val="both"/>
        <w:textAlignment w:val="auto"/>
        <w:outlineLvl w:val="1"/>
        <w:rPr>
          <w:rFonts w:ascii="Times New Roman" w:hAnsi="Times New Roman" w:eastAsia="宋体" w:cs="Times New Roman"/>
          <w:b/>
          <w:bCs/>
          <w:spacing w:val="4"/>
          <w:position w:val="2"/>
          <w:sz w:val="24"/>
          <w:szCs w:val="24"/>
          <w:lang w:eastAsia="zh-CN"/>
        </w:rPr>
      </w:pPr>
      <w:r>
        <w:rPr>
          <w:rFonts w:hint="default" w:ascii="Times New Roman" w:hAnsi="Times New Roman" w:eastAsia="宋体" w:cs="Times New Roman"/>
          <w:snapToGrid/>
          <w:color w:val="auto"/>
          <w:sz w:val="20"/>
          <w:szCs w:val="20"/>
          <w:lang w:eastAsia="zh-CN"/>
        </w:rPr>
        <w:t>Perhaps most importantly, this analysis reveals that the field is asking increasingly sophisticated questions.</w:t>
      </w:r>
      <w:r>
        <w:rPr>
          <w:rFonts w:hint="eastAsia" w:ascii="Times New Roman" w:hAnsi="Times New Roman" w:eastAsia="宋体" w:cs="Times New Roman"/>
          <w:snapToGrid/>
          <w:color w:val="auto"/>
          <w:sz w:val="20"/>
          <w:szCs w:val="20"/>
          <w:lang w:val="en-US" w:eastAsia="zh-CN"/>
        </w:rPr>
        <w:t xml:space="preserve"> </w:t>
      </w:r>
      <w:r>
        <w:rPr>
          <w:rFonts w:hint="default" w:ascii="Times New Roman" w:hAnsi="Times New Roman" w:eastAsia="宋体" w:cs="Times New Roman"/>
          <w:snapToGrid/>
          <w:color w:val="auto"/>
          <w:sz w:val="20"/>
          <w:szCs w:val="20"/>
          <w:lang w:eastAsia="zh-CN"/>
        </w:rPr>
        <w:t>Early AI-in-education research often focused on proving feasibility or documenting adoption</w:t>
      </w:r>
      <w:r>
        <w:rPr>
          <w:rFonts w:hint="default" w:ascii="Times New Roman" w:hAnsi="Times New Roman" w:eastAsia="宋体" w:cs="Times New Roman"/>
          <w:snapToGrid/>
          <w:color w:val="auto"/>
          <w:sz w:val="20"/>
          <w:szCs w:val="20"/>
          <w:lang w:eastAsia="zh-CN"/>
        </w:rPr>
        <w:fldChar w:fldCharType="begin"/>
      </w:r>
      <w:r>
        <w:rPr>
          <w:rFonts w:hint="eastAsia" w:ascii="Times New Roman" w:hAnsi="Times New Roman" w:eastAsia="宋体" w:cs="Times New Roman"/>
          <w:snapToGrid/>
          <w:color w:val="auto"/>
          <w:sz w:val="20"/>
          <w:szCs w:val="20"/>
          <w:lang w:eastAsia="zh-CN"/>
        </w:rPr>
        <w:instrText xml:space="preserve"> ADDIN ZOTERO_ITEM CSL_CITATION {"citationID":"RT7PUXfZ","properties":{"formattedCitation":"&lt;sup&gt;59&lt;/sup&gt;","plainCitation":"59","noteIndex":0},"citationItems":[{"id":1222,"uris":["http://zotero.org/groups/6329368/items/JSFNU6JD"],"itemData":{"id":1222,"type":"article-journal","abstract":"In recent years, there has been widespread interest around the potential for technology to transform learning. As investment in education technology continues to grow, students, parents, and \nteachers face a seemingly endless array of education technologies from which to choose—from digital personalized learning platforms to online courses to text message reminders to submit \nfinancial aid forms. Amid the excitement, it is important to step back and understand how technology can help—or in some cases hinder—learning. This review article synthesizes and discusses \nrigorous evidence on the effectiveness of technology-based approaches to education in developed countries and outlines areas for future inquiry. In particular, we examine randomized \ncontrolled trials and regression discontinuity studies across the following categories of education technology: (i) access to technology, (ii) computer-assisted learning, (iii) technology-enabled \nbehavioral interventions in education, and (iv) online learning. We hope this synthesis will advance academic understanding of how technology can improve education, outline key areas for new \nexperimental research, and help drive improvements to the policies, programs, and structures that contribute to successful teaching and learning.","container-title":"Journal of Economic Literature","DOI":"10.1257/jel.20191507","ISSN":"0022-0515","issue":"4","language":"en","page":"897-996","source":"www.aeaweb.org","title":"Upgrading Education with Technology: Insights from Experimental Research","title-short":"Upgrading Education with Technology","volume":"58","author":[{"family":"Escueta","given":"Maya"},{"family":"Nickow","given":"Andre Joshua"},{"family":"Oreopoulos","given":"Philip"},{"family":"Quan","given":"Vincent"}],"issued":{"date-parts":[["2020",12]]}}}],"schema":"https://github.com/citation-style-language/schema/raw/master/csl-citation.json"} </w:instrText>
      </w:r>
      <w:r>
        <w:rPr>
          <w:rFonts w:hint="default" w:ascii="Times New Roman" w:hAnsi="Times New Roman" w:eastAsia="宋体" w:cs="Times New Roman"/>
          <w:snapToGrid/>
          <w:color w:val="auto"/>
          <w:sz w:val="20"/>
          <w:szCs w:val="20"/>
          <w:lang w:eastAsia="zh-CN"/>
        </w:rPr>
        <w:fldChar w:fldCharType="separate"/>
      </w:r>
      <w:r>
        <w:rPr>
          <w:rFonts w:hint="eastAsia" w:ascii="Times New Roman" w:hAnsi="Times New Roman" w:eastAsia="宋体" w:cs="Times New Roman"/>
          <w:snapToGrid/>
          <w:color w:val="auto"/>
          <w:sz w:val="20"/>
          <w:szCs w:val="20"/>
          <w:vertAlign w:val="superscript"/>
          <w:lang w:eastAsia="zh-CN"/>
        </w:rPr>
        <w:t>59</w:t>
      </w:r>
      <w:r>
        <w:rPr>
          <w:rFonts w:hint="default" w:ascii="Times New Roman" w:hAnsi="Times New Roman" w:eastAsia="宋体" w:cs="Times New Roman"/>
          <w:snapToGrid/>
          <w:color w:val="auto"/>
          <w:sz w:val="20"/>
          <w:szCs w:val="20"/>
          <w:lang w:eastAsia="zh-CN"/>
        </w:rPr>
        <w:fldChar w:fldCharType="end"/>
      </w:r>
      <w:r>
        <w:rPr>
          <w:rFonts w:hint="default" w:ascii="Times New Roman" w:hAnsi="Times New Roman" w:eastAsia="宋体" w:cs="Times New Roman"/>
          <w:snapToGrid/>
          <w:color w:val="auto"/>
          <w:sz w:val="20"/>
          <w:szCs w:val="20"/>
          <w:lang w:eastAsia="zh-CN"/>
        </w:rPr>
        <w:t>.</w:t>
      </w:r>
      <w:r>
        <w:rPr>
          <w:rFonts w:hint="eastAsia" w:ascii="Times New Roman" w:hAnsi="Times New Roman" w:eastAsia="宋体" w:cs="Times New Roman"/>
          <w:snapToGrid/>
          <w:color w:val="auto"/>
          <w:sz w:val="20"/>
          <w:szCs w:val="20"/>
          <w:lang w:val="en-US" w:eastAsia="zh-CN"/>
        </w:rPr>
        <w:t xml:space="preserve"> </w:t>
      </w:r>
      <w:r>
        <w:rPr>
          <w:rFonts w:hint="default" w:ascii="Times New Roman" w:hAnsi="Times New Roman" w:eastAsia="宋体" w:cs="Times New Roman"/>
          <w:snapToGrid/>
          <w:color w:val="auto"/>
          <w:sz w:val="20"/>
          <w:szCs w:val="20"/>
          <w:lang w:eastAsia="zh-CN"/>
        </w:rPr>
        <w:t>The gaps identified here aim higher: understanding mechanisms, establishing causality, differentiating contexts, addressing ethics.</w:t>
      </w:r>
      <w:r>
        <w:rPr>
          <w:rFonts w:hint="eastAsia" w:ascii="Times New Roman" w:hAnsi="Times New Roman" w:eastAsia="宋体" w:cs="Times New Roman"/>
          <w:snapToGrid/>
          <w:color w:val="auto"/>
          <w:sz w:val="20"/>
          <w:szCs w:val="20"/>
          <w:lang w:val="en-US" w:eastAsia="zh-CN"/>
        </w:rPr>
        <w:t xml:space="preserve"> </w:t>
      </w:r>
      <w:r>
        <w:rPr>
          <w:rFonts w:hint="default" w:ascii="Times New Roman" w:hAnsi="Times New Roman" w:eastAsia="宋体" w:cs="Times New Roman"/>
          <w:snapToGrid/>
          <w:color w:val="auto"/>
          <w:sz w:val="20"/>
          <w:szCs w:val="20"/>
          <w:lang w:eastAsia="zh-CN"/>
        </w:rPr>
        <w:t xml:space="preserve">That shift from </w:t>
      </w:r>
      <w:r>
        <w:rPr>
          <w:rFonts w:hint="default" w:ascii="Times New Roman" w:hAnsi="Times New Roman" w:eastAsia="宋体" w:cs="Times New Roman"/>
          <w:snapToGrid/>
          <w:color w:val="auto"/>
          <w:sz w:val="20"/>
          <w:szCs w:val="20"/>
          <w:lang w:val="en-US" w:eastAsia="zh-CN"/>
        </w:rPr>
        <w:t>“</w:t>
      </w:r>
      <w:r>
        <w:rPr>
          <w:rFonts w:hint="default" w:ascii="Times New Roman" w:hAnsi="Times New Roman" w:eastAsia="宋体" w:cs="Times New Roman"/>
          <w:snapToGrid/>
          <w:color w:val="auto"/>
          <w:sz w:val="20"/>
          <w:szCs w:val="20"/>
          <w:lang w:eastAsia="zh-CN"/>
        </w:rPr>
        <w:t>does it work?</w:t>
      </w:r>
      <w:r>
        <w:rPr>
          <w:rFonts w:hint="default" w:ascii="Times New Roman" w:hAnsi="Times New Roman" w:eastAsia="宋体" w:cs="Times New Roman"/>
          <w:snapToGrid/>
          <w:color w:val="auto"/>
          <w:sz w:val="20"/>
          <w:szCs w:val="20"/>
          <w:lang w:val="en-US" w:eastAsia="zh-CN"/>
        </w:rPr>
        <w:t>”</w:t>
      </w:r>
      <w:r>
        <w:rPr>
          <w:rFonts w:hint="default" w:ascii="Times New Roman" w:hAnsi="Times New Roman" w:eastAsia="宋体" w:cs="Times New Roman"/>
          <w:snapToGrid/>
          <w:color w:val="auto"/>
          <w:sz w:val="20"/>
          <w:szCs w:val="20"/>
          <w:lang w:eastAsia="zh-CN"/>
        </w:rPr>
        <w:t xml:space="preserve"> to </w:t>
      </w:r>
      <w:r>
        <w:rPr>
          <w:rFonts w:hint="default" w:ascii="Times New Roman" w:hAnsi="Times New Roman" w:eastAsia="宋体" w:cs="Times New Roman"/>
          <w:snapToGrid/>
          <w:color w:val="auto"/>
          <w:sz w:val="20"/>
          <w:szCs w:val="20"/>
          <w:lang w:val="en-US" w:eastAsia="zh-CN"/>
        </w:rPr>
        <w:t>“</w:t>
      </w:r>
      <w:r>
        <w:rPr>
          <w:rFonts w:hint="default" w:ascii="Times New Roman" w:hAnsi="Times New Roman" w:eastAsia="宋体" w:cs="Times New Roman"/>
          <w:snapToGrid/>
          <w:color w:val="auto"/>
          <w:sz w:val="20"/>
          <w:szCs w:val="20"/>
          <w:lang w:eastAsia="zh-CN"/>
        </w:rPr>
        <w:t>how, when, for whom, and at what cost?</w:t>
      </w:r>
      <w:r>
        <w:rPr>
          <w:rFonts w:hint="default" w:ascii="Times New Roman" w:hAnsi="Times New Roman" w:eastAsia="宋体" w:cs="Times New Roman"/>
          <w:snapToGrid/>
          <w:color w:val="auto"/>
          <w:sz w:val="20"/>
          <w:szCs w:val="20"/>
          <w:lang w:val="en-US" w:eastAsia="zh-CN"/>
        </w:rPr>
        <w:t>”</w:t>
      </w:r>
      <w:r>
        <w:rPr>
          <w:rFonts w:hint="default" w:ascii="Times New Roman" w:hAnsi="Times New Roman" w:eastAsia="宋体" w:cs="Times New Roman"/>
          <w:snapToGrid/>
          <w:color w:val="auto"/>
          <w:sz w:val="20"/>
          <w:szCs w:val="20"/>
          <w:lang w:eastAsia="zh-CN"/>
        </w:rPr>
        <w:t xml:space="preserve"> marks progress toward a mature research paradigm</w:t>
      </w:r>
      <w:r>
        <w:rPr>
          <w:rFonts w:hint="default" w:ascii="Times New Roman" w:hAnsi="Times New Roman" w:eastAsia="宋体" w:cs="Times New Roman"/>
          <w:snapToGrid/>
          <w:color w:val="auto"/>
          <w:sz w:val="20"/>
          <w:szCs w:val="20"/>
          <w:lang w:eastAsia="zh-CN"/>
        </w:rPr>
        <w:fldChar w:fldCharType="begin"/>
      </w:r>
      <w:r>
        <w:rPr>
          <w:rFonts w:hint="eastAsia" w:ascii="Times New Roman" w:hAnsi="Times New Roman" w:eastAsia="宋体" w:cs="Times New Roman"/>
          <w:snapToGrid/>
          <w:color w:val="auto"/>
          <w:sz w:val="20"/>
          <w:szCs w:val="20"/>
          <w:lang w:eastAsia="zh-CN"/>
        </w:rPr>
        <w:instrText xml:space="preserve"> ADDIN ZOTERO_ITEM CSL_CITATION {"citationID":"dAqz8iBS","properties":{"formattedCitation":"&lt;sup&gt;60,61&lt;/sup&gt;","plainCitation":"60,61","noteIndex":0},"citationItems":[{"id":1234,"uris":["http://zotero.org/groups/6329368/items/BANXS883"],"itemData":{"id":1234,"type":"article-journal","abstract":"Intervention research with children and adolescents has suffered from a dearth of relevant theoretical grounding and from the lack of a reciprocal “feedback” mechanism by which clinical trials can inform relevant theorizing and conceptualization. There are hopeful signs, however, of increasing confluence between clinical efforts and theoretical models. Indeed, the key issue I discuss is how intervention studies can yield information about developmental and clinical theory as well as mechanisms related to psychopathology. Specific research examples in the field, particularly those emanating from the Multimodal Treatment Study of Children with attention deficit/hyperactivity disorder (MTA study), reveal that probes of moderator and mediator variables can clearly enhance our knowledge of relevant processes and mechanisms. In fact, recent MTA findings have relevance for models of genetic and epigenetic influence on symptomatology related to attentional deficits and hyperactivity. It would be overzealous, however, to make premature claims regarding etiologic variables from intervention research, as treatment studies typically address variables that are causally far “downstream” from primary causal factors and most clinical trials have statistical power that is barely sufficient for main outcome questions, much less mediational linkages. Overall, the field has severely underutilized experimental intervention research to subserve the dual ends of improving the lives of youth and advancing theoretical conceptualization regarding development and psychopathology.","container-title":"Development and Psychopathology","DOI":"10.1017/S0954579402004078","ISSN":"1469-2198, 0954-5794","issue":"4","language":"en","page":"789-818","source":"Cambridge University Press","title":"Intervention research, theoretical mechanisms, and causal processes related to externalizing behavior patterns","volume":"14","author":[{"family":"Hinshaw","given":"Stephen P."}],"issued":{"date-parts":[["2002",12]]}},"label":"page"},{"id":1199,"uris":["http://zotero.org/groups/6329368/items/VTLN6VB8"],"itemData":{"id":1199,"type":"article-journal","abstract":"A debate has arisen out of the need to understand true intervention outcomes in the social sciences. Traditionally, the randomized, controlled trial that answers the question of ‘what works’ has been considered the gold standard. Although randomized, controlled trials have been favoured in organizational intervention research, there has been an increasing interest in understanding the influence of context and intervention processes on the outcomes of such interventions. In the present critical essay, we question the suitability of trials and meta-analyses to evaluate the effectiveness of organizational interventions and we suggest that realist evaluation that seeks to answer the questions of what works for whom in which circumstances may present a more suitable framework. We argue that examining the content and process mechanisms through which organizational interventions are effective, and the conditions under which these are triggered, will enable us to better understand how interventions achieve the desired outcomes of improved employee health and well-being. We suggest that organizational intervention content and process mechanisms may help bring about the desired outcomes of improved employee health and well-being and that contextual factors determine whether these mechanisms are triggered.","container-title":"Human Relations","DOI":"10.1177/0018726716670226","ISSN":"0018-7267","issue":"1","language":"EN","page":"40-62","publisher":"SAGE Publications Ltd","source":"SAGE Journals","title":"What works for whom in which circumstances? On the need to move beyond the ‘what works?’ question in organizational intervention research","title-short":"What works for whom in which circumstances?","volume":"70","author":[{"family":"Nielsen","given":"Karina"},{"family":"Miraglia","given":"Mariella"}],"issued":{"date-parts":[["2017",1,1]]}},"label":"page"}],"schema":"https://github.com/citation-style-language/schema/raw/master/csl-citation.json"} </w:instrText>
      </w:r>
      <w:r>
        <w:rPr>
          <w:rFonts w:hint="default" w:ascii="Times New Roman" w:hAnsi="Times New Roman" w:eastAsia="宋体" w:cs="Times New Roman"/>
          <w:snapToGrid/>
          <w:color w:val="auto"/>
          <w:sz w:val="20"/>
          <w:szCs w:val="20"/>
          <w:lang w:eastAsia="zh-CN"/>
        </w:rPr>
        <w:fldChar w:fldCharType="separate"/>
      </w:r>
      <w:r>
        <w:rPr>
          <w:rFonts w:hint="eastAsia" w:ascii="Times New Roman" w:hAnsi="Times New Roman" w:eastAsia="宋体" w:cs="Times New Roman"/>
          <w:snapToGrid/>
          <w:color w:val="auto"/>
          <w:sz w:val="20"/>
          <w:szCs w:val="20"/>
          <w:vertAlign w:val="superscript"/>
          <w:lang w:eastAsia="zh-CN"/>
        </w:rPr>
        <w:t>60,61</w:t>
      </w:r>
      <w:r>
        <w:rPr>
          <w:rFonts w:hint="default" w:ascii="Times New Roman" w:hAnsi="Times New Roman" w:eastAsia="宋体" w:cs="Times New Roman"/>
          <w:snapToGrid/>
          <w:color w:val="auto"/>
          <w:sz w:val="20"/>
          <w:szCs w:val="20"/>
          <w:lang w:eastAsia="zh-CN"/>
        </w:rPr>
        <w:fldChar w:fldCharType="end"/>
      </w:r>
      <w:r>
        <w:rPr>
          <w:rFonts w:hint="default" w:ascii="Times New Roman" w:hAnsi="Times New Roman" w:eastAsia="宋体" w:cs="Times New Roman"/>
          <w:snapToGrid/>
          <w:color w:val="auto"/>
          <w:sz w:val="20"/>
          <w:szCs w:val="20"/>
          <w:lang w:eastAsia="zh-CN"/>
        </w:rPr>
        <w:t>.</w:t>
      </w:r>
      <w:r>
        <w:rPr>
          <w:rFonts w:hint="eastAsia" w:ascii="Times New Roman" w:hAnsi="Times New Roman" w:eastAsia="宋体" w:cs="Times New Roman"/>
          <w:snapToGrid/>
          <w:color w:val="auto"/>
          <w:sz w:val="20"/>
          <w:szCs w:val="20"/>
          <w:lang w:val="en-US" w:eastAsia="zh-CN"/>
        </w:rPr>
        <w:t xml:space="preserve"> </w:t>
      </w:r>
      <w:r>
        <w:rPr>
          <w:rFonts w:hint="default" w:ascii="Times New Roman" w:hAnsi="Times New Roman" w:eastAsia="宋体" w:cs="Times New Roman"/>
          <w:snapToGrid/>
          <w:color w:val="auto"/>
          <w:sz w:val="20"/>
          <w:szCs w:val="20"/>
          <w:lang w:eastAsia="zh-CN"/>
        </w:rPr>
        <w:t>The gaps we’ve identified aren’t deficiencies so much as invitations</w:t>
      </w:r>
      <w:r>
        <w:rPr>
          <w:rFonts w:hint="eastAsia" w:ascii="Times New Roman" w:hAnsi="Times New Roman" w:eastAsia="宋体" w:cs="Times New Roman"/>
          <w:snapToGrid/>
          <w:color w:val="auto"/>
          <w:sz w:val="20"/>
          <w:szCs w:val="20"/>
          <w:lang w:val="en-US" w:eastAsia="zh-CN"/>
        </w:rPr>
        <w:t>. A</w:t>
      </w:r>
      <w:r>
        <w:rPr>
          <w:rFonts w:hint="default" w:ascii="Times New Roman" w:hAnsi="Times New Roman" w:eastAsia="宋体" w:cs="Times New Roman"/>
          <w:snapToGrid/>
          <w:color w:val="auto"/>
          <w:sz w:val="20"/>
          <w:szCs w:val="20"/>
          <w:lang w:eastAsia="zh-CN"/>
        </w:rPr>
        <w:t xml:space="preserve"> collective articulation of what the field needs to know next</w:t>
      </w:r>
      <w:r>
        <w:rPr>
          <w:rFonts w:hint="default" w:ascii="Times New Roman" w:hAnsi="Times New Roman" w:eastAsia="宋体" w:cs="Times New Roman"/>
          <w:snapToGrid/>
          <w:color w:val="auto"/>
          <w:sz w:val="20"/>
          <w:szCs w:val="20"/>
          <w:lang w:eastAsia="zh-CN"/>
        </w:rPr>
        <w:fldChar w:fldCharType="begin"/>
      </w:r>
      <w:r>
        <w:rPr>
          <w:rFonts w:hint="eastAsia" w:ascii="Times New Roman" w:hAnsi="Times New Roman" w:eastAsia="宋体" w:cs="Times New Roman"/>
          <w:snapToGrid/>
          <w:color w:val="auto"/>
          <w:sz w:val="20"/>
          <w:szCs w:val="20"/>
          <w:lang w:eastAsia="zh-CN"/>
        </w:rPr>
        <w:instrText xml:space="preserve"> ADDIN ZOTERO_ITEM CSL_CITATION {"citationID":"33FyO8U3","properties":{"formattedCitation":"&lt;sup&gt;57&lt;/sup&gt;","plainCitation":"57","noteIndex":0},"citationItems":[{"id":1195,"uris":["http://zotero.org/groups/6329368/items/N5QTQGIH"],"itemData":{"id":1195,"type":"article-journal","container-title":"Journal of Clinical Epidemiology","DOI":"10.1016/j.jclinepi.2011.06.009","ISSN":"0895-4356, 1878-5921","issue":"12","journalAbbreviation":"Journal of Clinical Epidemiology","language":"English","page":"1325-1330","PMID":"21937195","publisher":"Elsevier","source":"www.jclinepi.com","title":"Development of a framework to identify research gaps from systematic reviews","volume":"64","author":[{"family":"Robinson","given":"Karen A."},{"family":"Saldanha","given":"Ian J."},{"family":"Mckoy","given":"Naomi A."}],"issued":{"date-parts":[["2011",12,1]]}}}],"schema":"https://github.com/citation-style-language/schema/raw/master/csl-citation.json"} </w:instrText>
      </w:r>
      <w:r>
        <w:rPr>
          <w:rFonts w:hint="default" w:ascii="Times New Roman" w:hAnsi="Times New Roman" w:eastAsia="宋体" w:cs="Times New Roman"/>
          <w:snapToGrid/>
          <w:color w:val="auto"/>
          <w:sz w:val="20"/>
          <w:szCs w:val="20"/>
          <w:lang w:eastAsia="zh-CN"/>
        </w:rPr>
        <w:fldChar w:fldCharType="separate"/>
      </w:r>
      <w:r>
        <w:rPr>
          <w:rFonts w:hint="eastAsia" w:ascii="Times New Roman" w:hAnsi="Times New Roman" w:eastAsia="宋体" w:cs="Times New Roman"/>
          <w:snapToGrid/>
          <w:color w:val="auto"/>
          <w:sz w:val="20"/>
          <w:szCs w:val="20"/>
          <w:vertAlign w:val="superscript"/>
          <w:lang w:eastAsia="zh-CN"/>
        </w:rPr>
        <w:t>57</w:t>
      </w:r>
      <w:r>
        <w:rPr>
          <w:rFonts w:hint="default" w:ascii="Times New Roman" w:hAnsi="Times New Roman" w:eastAsia="宋体" w:cs="Times New Roman"/>
          <w:snapToGrid/>
          <w:color w:val="auto"/>
          <w:sz w:val="20"/>
          <w:szCs w:val="20"/>
          <w:lang w:eastAsia="zh-CN"/>
        </w:rPr>
        <w:fldChar w:fldCharType="end"/>
      </w:r>
      <w:r>
        <w:rPr>
          <w:rFonts w:hint="default" w:ascii="Times New Roman" w:hAnsi="Times New Roman" w:eastAsia="宋体" w:cs="Times New Roman"/>
          <w:snapToGrid/>
          <w:color w:val="auto"/>
          <w:sz w:val="20"/>
          <w:szCs w:val="20"/>
          <w:lang w:eastAsia="zh-CN"/>
        </w:rPr>
        <w:t>.</w:t>
      </w:r>
    </w:p>
    <w:p w14:paraId="3CA7461A">
      <w:pPr>
        <w:snapToGrid/>
        <w:spacing w:before="122" w:line="480" w:lineRule="auto"/>
        <w:contextualSpacing/>
        <w:jc w:val="both"/>
        <w:outlineLvl w:val="1"/>
        <w:rPr>
          <w:rFonts w:hint="eastAsia" w:ascii="Times New Roman" w:hAnsi="Times New Roman" w:eastAsia="Times New Roman" w:cs="Times New Roman"/>
          <w:b/>
          <w:bCs/>
          <w:snapToGrid/>
          <w:color w:val="auto"/>
          <w:sz w:val="24"/>
          <w:szCs w:val="24"/>
          <w:lang w:val="en-US" w:eastAsia="zh-CN"/>
        </w:rPr>
      </w:pPr>
      <w:r>
        <w:rPr>
          <w:rFonts w:hint="eastAsia" w:ascii="Times New Roman" w:hAnsi="Times New Roman" w:eastAsia="Times New Roman" w:cs="Times New Roman"/>
          <w:b/>
          <w:bCs/>
          <w:snapToGrid/>
          <w:color w:val="auto"/>
          <w:sz w:val="24"/>
          <w:szCs w:val="24"/>
          <w:lang w:val="en-US" w:eastAsia="zh-CN"/>
        </w:rPr>
        <w:t>Conclusion</w:t>
      </w:r>
    </w:p>
    <w:p w14:paraId="5773EC1F">
      <w:pPr>
        <w:kinsoku/>
        <w:adjustRightInd/>
        <w:snapToGrid/>
        <w:jc w:val="both"/>
        <w:textAlignment w:val="auto"/>
        <w:outlineLvl w:val="1"/>
        <w:rPr>
          <w:rFonts w:hint="eastAsia" w:ascii="Times New Roman" w:hAnsi="Times New Roman" w:eastAsia="宋体" w:cs="Times New Roman"/>
          <w:snapToGrid/>
          <w:color w:val="auto"/>
          <w:sz w:val="20"/>
          <w:szCs w:val="20"/>
          <w:lang w:eastAsia="zh-CN"/>
        </w:rPr>
      </w:pPr>
      <w:r>
        <w:rPr>
          <w:rFonts w:hint="default" w:ascii="Times New Roman" w:hAnsi="Times New Roman" w:eastAsia="宋体" w:cs="Times New Roman"/>
          <w:snapToGrid/>
          <w:color w:val="auto"/>
          <w:sz w:val="20"/>
          <w:szCs w:val="20"/>
          <w:lang w:eastAsia="zh-CN"/>
        </w:rPr>
        <w:t xml:space="preserve">This scoping review synthesises existing empirical literature on the application of GenAI in creative education, covering disciplines such as art, design, and engineering, with a particular emphasis on students’ multidimensional psychological impacts. </w:t>
      </w:r>
      <w:r>
        <w:rPr>
          <w:rFonts w:hint="eastAsia" w:ascii="Times New Roman" w:hAnsi="Times New Roman" w:eastAsia="宋体" w:cs="Times New Roman"/>
          <w:snapToGrid/>
          <w:color w:val="auto"/>
          <w:sz w:val="20"/>
          <w:szCs w:val="20"/>
          <w:lang w:eastAsia="zh-CN"/>
        </w:rPr>
        <w:t>The review has explored the different forms of GenAI integration such as studio work, workshop, hackathon and naturalistic application. These applications were compared in varying geographic settings and in various groups of learners such as undergraduate, graduate, and novice professionals.</w:t>
      </w:r>
      <w:r>
        <w:rPr>
          <w:rFonts w:hint="default" w:ascii="Times New Roman" w:hAnsi="Times New Roman" w:eastAsia="宋体" w:cs="Times New Roman"/>
          <w:snapToGrid/>
          <w:color w:val="auto"/>
          <w:sz w:val="20"/>
          <w:szCs w:val="20"/>
          <w:lang w:eastAsia="zh-CN"/>
        </w:rPr>
        <w:t>It also mapped core psychological outcomes, such as anxiety related to career, creativity, and ethics, identity threats, and fluctuations in self-efficacy.</w:t>
      </w:r>
    </w:p>
    <w:p w14:paraId="42E88933">
      <w:pPr>
        <w:kinsoku/>
        <w:adjustRightInd/>
        <w:snapToGrid/>
        <w:ind w:firstLine="400" w:firstLineChars="200"/>
        <w:jc w:val="both"/>
        <w:textAlignment w:val="auto"/>
        <w:outlineLvl w:val="1"/>
        <w:rPr>
          <w:rFonts w:hint="eastAsia" w:ascii="Times New Roman" w:hAnsi="Times New Roman" w:eastAsia="宋体" w:cs="Times New Roman"/>
          <w:snapToGrid/>
          <w:color w:val="auto"/>
          <w:sz w:val="20"/>
          <w:szCs w:val="20"/>
          <w:lang w:eastAsia="zh-CN"/>
        </w:rPr>
      </w:pPr>
      <w:r>
        <w:rPr>
          <w:rFonts w:hint="default" w:ascii="Times New Roman" w:hAnsi="Times New Roman" w:eastAsia="宋体" w:cs="Times New Roman"/>
          <w:snapToGrid/>
          <w:color w:val="auto"/>
          <w:sz w:val="20"/>
          <w:szCs w:val="20"/>
          <w:lang w:eastAsia="zh-CN"/>
        </w:rPr>
        <w:t xml:space="preserve">Furthermore, the review recommends differentiated pedagogical approaches tailored to learners’ experience levels. </w:t>
      </w:r>
      <w:r>
        <w:rPr>
          <w:rFonts w:hint="default" w:ascii="Times New Roman" w:hAnsi="Times New Roman" w:eastAsia="宋体" w:cs="Times New Roman"/>
          <w:snapToGrid/>
          <w:color w:val="auto"/>
          <w:sz w:val="20"/>
          <w:szCs w:val="20"/>
          <w:lang w:val="en-US" w:eastAsia="zh-CN"/>
        </w:rPr>
        <w:t>These include leveraging the complementarity of GenAI and foundational training for novice learners to prevent excessive reliance on automated tools, guiding advanced learners to rebuild their professional identity so that they can overcome fears of skill redundancy and uphold their professional competence, and delivering systematic AI literacy instruction to foster critical awareness of the technology’s potential threats.</w:t>
      </w:r>
      <w:r>
        <w:rPr>
          <w:rFonts w:hint="default" w:ascii="Times New Roman" w:hAnsi="Times New Roman" w:eastAsia="宋体" w:cs="Times New Roman"/>
          <w:snapToGrid/>
          <w:color w:val="auto"/>
          <w:sz w:val="20"/>
          <w:szCs w:val="20"/>
          <w:lang w:eastAsia="zh-CN"/>
        </w:rPr>
        <w:t xml:space="preserve">While the dual-edged nature of GenAI’s impacts, such as enhancing efficiency and ideation while posing psychological challenges, is well-documented, the study also identified significant limitations in current research. </w:t>
      </w:r>
      <w:r>
        <w:rPr>
          <w:rFonts w:hint="eastAsia" w:ascii="Times New Roman" w:hAnsi="Times New Roman" w:eastAsia="宋体" w:cs="Times New Roman"/>
          <w:snapToGrid/>
          <w:color w:val="auto"/>
          <w:sz w:val="20"/>
          <w:szCs w:val="20"/>
          <w:lang w:eastAsia="zh-CN"/>
        </w:rPr>
        <w:t>These constraints can be grouped into three broad categories: scope, theory and methods. With regards to scope, also significant subgroups like students of fine arts and several of its subfields are underrepresented, and at the theoretical and methodological stages, the research is divided between different frameworks and covers fewer of the fundamental topics, such as cross-cultural differences and the ethical management of AI-supported creativity.</w:t>
      </w:r>
    </w:p>
    <w:p w14:paraId="7C5FE225">
      <w:pPr>
        <w:kinsoku/>
        <w:adjustRightInd/>
        <w:snapToGrid/>
        <w:ind w:firstLine="400" w:firstLineChars="200"/>
        <w:jc w:val="both"/>
        <w:textAlignment w:val="auto"/>
        <w:outlineLvl w:val="1"/>
        <w:rPr>
          <w:rFonts w:hint="eastAsia" w:ascii="Times New Roman" w:hAnsi="Times New Roman" w:eastAsia="宋体" w:cs="Times New Roman"/>
          <w:snapToGrid/>
          <w:color w:val="auto"/>
          <w:sz w:val="20"/>
          <w:szCs w:val="20"/>
          <w:lang w:eastAsia="zh-CN"/>
        </w:rPr>
      </w:pPr>
      <w:r>
        <w:rPr>
          <w:rFonts w:hint="default" w:ascii="Times New Roman" w:hAnsi="Times New Roman" w:eastAsia="宋体" w:cs="Times New Roman"/>
          <w:snapToGrid/>
          <w:color w:val="auto"/>
          <w:sz w:val="20"/>
          <w:szCs w:val="20"/>
          <w:lang w:eastAsia="zh-CN"/>
        </w:rPr>
        <w:t>Creative education stakeholders face unique challenges related to GenAI’s disruption of traditional creative identities and skill valuation. This disruption necessitates the adaptation of generic technology education frameworks</w:t>
      </w:r>
      <w:r>
        <w:rPr>
          <w:rFonts w:hint="eastAsia" w:ascii="Times New Roman" w:hAnsi="Times New Roman" w:eastAsia="宋体" w:cs="Times New Roman"/>
          <w:snapToGrid/>
          <w:color w:val="auto"/>
          <w:sz w:val="20"/>
          <w:szCs w:val="20"/>
          <w:lang w:eastAsia="zh-CN"/>
        </w:rPr>
        <w:t xml:space="preserve"> such as echnology Acceptance Model</w:t>
      </w:r>
      <w:r>
        <w:rPr>
          <w:rFonts w:hint="default" w:ascii="Times New Roman" w:hAnsi="Times New Roman" w:eastAsia="宋体" w:cs="Times New Roman"/>
          <w:snapToGrid/>
          <w:color w:val="auto"/>
          <w:sz w:val="20"/>
          <w:szCs w:val="20"/>
          <w:lang w:val="en-US" w:eastAsia="zh-CN"/>
        </w:rPr>
        <w:t xml:space="preserve"> and GenAI-TAM</w:t>
      </w:r>
      <w:r>
        <w:rPr>
          <w:rFonts w:hint="default" w:ascii="Times New Roman" w:hAnsi="Times New Roman" w:eastAsia="宋体" w:cs="Times New Roman"/>
          <w:snapToGrid/>
          <w:color w:val="auto"/>
          <w:sz w:val="20"/>
          <w:szCs w:val="20"/>
          <w:lang w:eastAsia="zh-CN"/>
        </w:rPr>
        <w:t xml:space="preserve"> to address the nuanced needs of creative disciplines. Future research should prioritise the development of integrated theoretical models to explain the interactions between cognitive, emotional, and identity-based impacts. Additionally, it is essential to employ rigorous longitudinal and causal research designs to capture long-term learning trajectories. There is also a need for comprehensive, discipline-specific assessments of GenAI’s influence on creative processes, particularly in relation to its potential for homogenisation and skill erosion.</w:t>
      </w:r>
    </w:p>
    <w:p w14:paraId="1834E11A">
      <w:pPr>
        <w:kinsoku/>
        <w:adjustRightInd/>
        <w:snapToGrid/>
        <w:ind w:firstLine="400" w:firstLineChars="200"/>
        <w:jc w:val="both"/>
        <w:textAlignment w:val="auto"/>
        <w:outlineLvl w:val="1"/>
        <w:rPr>
          <w:rFonts w:hint="eastAsia" w:ascii="Times New Roman" w:hAnsi="Times New Roman" w:eastAsia="宋体" w:cs="Times New Roman"/>
          <w:snapToGrid/>
          <w:color w:val="auto"/>
          <w:sz w:val="20"/>
          <w:szCs w:val="20"/>
          <w:lang w:val="en-US" w:eastAsia="zh-CN"/>
        </w:rPr>
      </w:pPr>
      <w:r>
        <w:rPr>
          <w:rFonts w:hint="default" w:ascii="Times New Roman" w:hAnsi="Times New Roman" w:eastAsia="宋体" w:cs="Times New Roman"/>
          <w:snapToGrid/>
          <w:color w:val="auto"/>
          <w:sz w:val="20"/>
          <w:szCs w:val="20"/>
          <w:lang w:eastAsia="zh-CN"/>
        </w:rPr>
        <w:t>Systemic changes within educational institutions, such as the establishment of clear GenAI use guidelines, the integration of AI ethics and authorship education into curricula, and the promotion of human-AI collaboration mechanisms, could play a crucial role in addressing psychological risks effectively. The review underscores the potential for a combination of individualised support, pedagogical innovation, and institutional strategy to leverage the benefits of GenAI while nurturing students’ psychological resilience and preserving the core values of creative practice in the AI era</w:t>
      </w:r>
      <w:r>
        <w:rPr>
          <w:rFonts w:hint="eastAsia" w:ascii="Times New Roman" w:hAnsi="Times New Roman" w:eastAsia="宋体" w:cs="Times New Roman"/>
          <w:snapToGrid/>
          <w:color w:val="auto"/>
          <w:sz w:val="20"/>
          <w:szCs w:val="20"/>
          <w:lang w:val="en-US" w:eastAsia="zh-CN"/>
        </w:rPr>
        <w:t>.</w:t>
      </w:r>
    </w:p>
    <w:p w14:paraId="4A8D63B3">
      <w:pPr>
        <w:kinsoku/>
        <w:adjustRightInd/>
        <w:snapToGrid/>
        <w:jc w:val="both"/>
        <w:textAlignment w:val="auto"/>
        <w:outlineLvl w:val="1"/>
        <w:rPr>
          <w:rFonts w:hint="default" w:ascii="Times New Roman" w:hAnsi="Times New Roman" w:eastAsia="宋体" w:cs="Times New Roman"/>
          <w:snapToGrid/>
          <w:color w:val="auto"/>
          <w:sz w:val="20"/>
          <w:szCs w:val="20"/>
          <w:lang w:val="en-US" w:eastAsia="zh-CN"/>
        </w:rPr>
      </w:pPr>
    </w:p>
    <w:p w14:paraId="273D96C5">
      <w:pPr>
        <w:snapToGrid/>
        <w:spacing w:before="122" w:line="480" w:lineRule="auto"/>
        <w:contextualSpacing/>
        <w:jc w:val="both"/>
        <w:outlineLvl w:val="1"/>
        <w:rPr>
          <w:rFonts w:hint="eastAsia" w:ascii="Times New Roman" w:hAnsi="Times New Roman" w:eastAsia="Times New Roman" w:cs="Times New Roman"/>
          <w:b/>
          <w:bCs/>
          <w:snapToGrid/>
          <w:color w:val="auto"/>
          <w:sz w:val="24"/>
          <w:szCs w:val="24"/>
          <w:lang w:val="en-US" w:eastAsia="zh-CN"/>
        </w:rPr>
      </w:pPr>
      <w:r>
        <w:rPr>
          <w:rFonts w:hint="eastAsia" w:ascii="Times New Roman" w:hAnsi="Times New Roman" w:eastAsia="Times New Roman" w:cs="Times New Roman"/>
          <w:b/>
          <w:bCs/>
          <w:snapToGrid/>
          <w:color w:val="auto"/>
          <w:sz w:val="24"/>
          <w:szCs w:val="24"/>
          <w:lang w:val="en-US" w:eastAsia="zh-CN"/>
        </w:rPr>
        <w:t>Data Availability</w:t>
      </w:r>
    </w:p>
    <w:p w14:paraId="30B15C12">
      <w:pPr>
        <w:kinsoku/>
        <w:adjustRightInd/>
        <w:snapToGrid/>
        <w:jc w:val="both"/>
        <w:textAlignment w:val="auto"/>
        <w:outlineLvl w:val="1"/>
        <w:rPr>
          <w:rFonts w:hint="default" w:ascii="Times New Roman" w:hAnsi="Times New Roman" w:eastAsia="宋体" w:cs="Times New Roman"/>
          <w:snapToGrid/>
          <w:color w:val="auto"/>
          <w:sz w:val="20"/>
          <w:szCs w:val="20"/>
          <w:lang w:val="en-US" w:eastAsia="zh-CN"/>
        </w:rPr>
        <w:sectPr>
          <w:pgSz w:w="11906" w:h="16838"/>
          <w:pgMar w:top="1440" w:right="1800" w:bottom="1440" w:left="1800" w:header="851" w:footer="992" w:gutter="0"/>
          <w:cols w:space="720" w:num="1"/>
          <w:docGrid w:type="lines" w:linePitch="312" w:charSpace="0"/>
        </w:sectPr>
      </w:pPr>
      <w:bookmarkStart w:id="0" w:name="_GoBack"/>
      <w:bookmarkEnd w:id="0"/>
      <w:r>
        <w:rPr>
          <w:rFonts w:hint="default" w:ascii="Times New Roman" w:hAnsi="Times New Roman" w:eastAsia="宋体" w:cs="Times New Roman"/>
          <w:snapToGrid/>
          <w:color w:val="auto"/>
          <w:sz w:val="20"/>
          <w:szCs w:val="20"/>
          <w:lang w:eastAsia="zh-CN"/>
        </w:rPr>
        <w:t>The data that support the findings of this study are available from the corresponding author upon request.</w:t>
      </w:r>
    </w:p>
    <w:p w14:paraId="4134EBFD">
      <w:pPr>
        <w:pStyle w:val="6"/>
        <w:spacing w:before="55" w:line="360" w:lineRule="auto"/>
        <w:ind w:left="11"/>
        <w:jc w:val="both"/>
        <w:outlineLvl w:val="2"/>
        <w:rPr>
          <w:rFonts w:ascii="Times New Roman" w:hAnsi="Times New Roman" w:cs="Times New Roman"/>
          <w:b/>
          <w:bCs/>
          <w:spacing w:val="4"/>
          <w:position w:val="2"/>
          <w:sz w:val="21"/>
          <w:szCs w:val="21"/>
          <w:lang w:eastAsia="zh-CN"/>
        </w:rPr>
      </w:pPr>
      <w:r>
        <w:rPr>
          <w:rFonts w:hint="eastAsia" w:ascii="Times New Roman" w:hAnsi="Times New Roman" w:cs="Times New Roman"/>
          <w:b/>
          <w:bCs/>
          <w:spacing w:val="4"/>
          <w:position w:val="2"/>
          <w:sz w:val="21"/>
          <w:szCs w:val="21"/>
          <w:lang w:eastAsia="zh-CN"/>
        </w:rPr>
        <w:t>Reference</w:t>
      </w:r>
    </w:p>
    <w:p w14:paraId="5950C8E2">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fldChar w:fldCharType="begin"/>
      </w:r>
      <w:r>
        <w:rPr>
          <w:rFonts w:hint="eastAsia" w:ascii="Times New Roman" w:hAnsi="Times New Roman" w:cs="Times New Roman"/>
          <w:b w:val="0"/>
          <w:bCs w:val="0"/>
          <w:spacing w:val="4"/>
          <w:position w:val="2"/>
          <w:sz w:val="20"/>
          <w:szCs w:val="20"/>
          <w:lang w:val="en-US" w:eastAsia="zh-CN"/>
        </w:rPr>
        <w:instrText xml:space="preserve"> ADDIN ZOTERO_BIBL {"uncited":[],"omitted":[],"custom":[]} CSL_BIBLIOGRAPHY </w:instrText>
      </w:r>
      <w:r>
        <w:rPr>
          <w:rFonts w:hint="eastAsia" w:ascii="Times New Roman" w:hAnsi="Times New Roman" w:cs="Times New Roman"/>
          <w:b w:val="0"/>
          <w:bCs w:val="0"/>
          <w:spacing w:val="4"/>
          <w:position w:val="2"/>
          <w:sz w:val="20"/>
          <w:szCs w:val="20"/>
          <w:lang w:val="en-US" w:eastAsia="zh-CN"/>
        </w:rPr>
        <w:fldChar w:fldCharType="separate"/>
      </w:r>
      <w:r>
        <w:rPr>
          <w:rFonts w:hint="eastAsia" w:ascii="Times New Roman" w:hAnsi="Times New Roman" w:cs="Times New Roman"/>
          <w:b w:val="0"/>
          <w:bCs w:val="0"/>
          <w:spacing w:val="4"/>
          <w:position w:val="2"/>
          <w:sz w:val="20"/>
          <w:szCs w:val="20"/>
          <w:lang w:val="en-US" w:eastAsia="zh-CN"/>
        </w:rPr>
        <w:t>1.</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Hwang, Y. &amp; Wu, Y. The influence of generative artificial intelligence on creative cognition of design students: a chain mediation model of self-efficacy and anxiety. </w:t>
      </w:r>
      <w:r>
        <w:rPr>
          <w:rFonts w:hint="eastAsia" w:ascii="Times New Roman" w:hAnsi="Times New Roman" w:cs="Times New Roman"/>
          <w:b w:val="0"/>
          <w:bCs w:val="0"/>
          <w:i/>
          <w:spacing w:val="4"/>
          <w:position w:val="2"/>
          <w:sz w:val="20"/>
          <w:szCs w:val="20"/>
          <w:lang w:val="en-US" w:eastAsia="zh-CN"/>
        </w:rPr>
        <w:t>Front. Psychol.</w:t>
      </w:r>
      <w:r>
        <w:rPr>
          <w:rFonts w:hint="eastAsia" w:ascii="Times New Roman" w:hAnsi="Times New Roman" w:cs="Times New Roman"/>
          <w:b w:val="0"/>
          <w:bCs w:val="0"/>
          <w:spacing w:val="4"/>
          <w:position w:val="2"/>
          <w:sz w:val="20"/>
          <w:szCs w:val="20"/>
          <w:lang w:val="en-US" w:eastAsia="zh-CN"/>
        </w:rPr>
        <w:t xml:space="preserve"> </w:t>
      </w:r>
      <w:r>
        <w:rPr>
          <w:rFonts w:hint="eastAsia" w:ascii="Times New Roman" w:hAnsi="Times New Roman" w:cs="Times New Roman"/>
          <w:b/>
          <w:bCs w:val="0"/>
          <w:spacing w:val="4"/>
          <w:position w:val="2"/>
          <w:sz w:val="20"/>
          <w:szCs w:val="20"/>
          <w:lang w:val="en-US" w:eastAsia="zh-CN"/>
        </w:rPr>
        <w:t>15</w:t>
      </w:r>
      <w:r>
        <w:rPr>
          <w:rFonts w:hint="eastAsia" w:ascii="Times New Roman" w:hAnsi="Times New Roman" w:cs="Times New Roman"/>
          <w:b w:val="0"/>
          <w:bCs w:val="0"/>
          <w:spacing w:val="4"/>
          <w:position w:val="2"/>
          <w:sz w:val="20"/>
          <w:szCs w:val="20"/>
          <w:lang w:val="en-US" w:eastAsia="zh-CN"/>
        </w:rPr>
        <w:t>, 1455015 (2025).</w:t>
      </w:r>
    </w:p>
    <w:p w14:paraId="00367BBD">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2.</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Chen, J., Mokmin, N. A. M. &amp; Su, H. Integrating generative artificial intelligence into design and art course: Effects on student achievement, motivation, and self-efficacy. </w:t>
      </w:r>
      <w:r>
        <w:rPr>
          <w:rFonts w:hint="eastAsia" w:ascii="Times New Roman" w:hAnsi="Times New Roman" w:cs="Times New Roman"/>
          <w:b w:val="0"/>
          <w:bCs w:val="0"/>
          <w:i/>
          <w:spacing w:val="4"/>
          <w:position w:val="2"/>
          <w:sz w:val="20"/>
          <w:szCs w:val="20"/>
          <w:lang w:val="en-US" w:eastAsia="zh-CN"/>
        </w:rPr>
        <w:t>Innovations in Education and Teaching International</w:t>
      </w:r>
      <w:r>
        <w:rPr>
          <w:rFonts w:hint="eastAsia" w:ascii="Times New Roman" w:hAnsi="Times New Roman" w:cs="Times New Roman"/>
          <w:b w:val="0"/>
          <w:bCs w:val="0"/>
          <w:spacing w:val="4"/>
          <w:position w:val="2"/>
          <w:sz w:val="20"/>
          <w:szCs w:val="20"/>
          <w:lang w:val="en-US" w:eastAsia="zh-CN"/>
        </w:rPr>
        <w:t xml:space="preserve"> </w:t>
      </w:r>
      <w:r>
        <w:rPr>
          <w:rFonts w:hint="eastAsia" w:ascii="Times New Roman" w:hAnsi="Times New Roman" w:cs="Times New Roman"/>
          <w:b/>
          <w:bCs w:val="0"/>
          <w:spacing w:val="4"/>
          <w:position w:val="2"/>
          <w:sz w:val="20"/>
          <w:szCs w:val="20"/>
          <w:lang w:val="en-US" w:eastAsia="zh-CN"/>
        </w:rPr>
        <w:t>62</w:t>
      </w:r>
      <w:r>
        <w:rPr>
          <w:rFonts w:hint="eastAsia" w:ascii="Times New Roman" w:hAnsi="Times New Roman" w:cs="Times New Roman"/>
          <w:b w:val="0"/>
          <w:bCs w:val="0"/>
          <w:spacing w:val="4"/>
          <w:position w:val="2"/>
          <w:sz w:val="20"/>
          <w:szCs w:val="20"/>
          <w:lang w:val="en-US" w:eastAsia="zh-CN"/>
        </w:rPr>
        <w:t>, 1431–1446 (2025).</w:t>
      </w:r>
    </w:p>
    <w:p w14:paraId="47717AC2">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3.</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Li, M. </w:t>
      </w:r>
      <w:r>
        <w:rPr>
          <w:rFonts w:hint="eastAsia" w:ascii="Times New Roman" w:hAnsi="Times New Roman" w:cs="Times New Roman"/>
          <w:b w:val="0"/>
          <w:bCs w:val="0"/>
          <w:i/>
          <w:spacing w:val="4"/>
          <w:position w:val="2"/>
          <w:sz w:val="20"/>
          <w:szCs w:val="20"/>
          <w:lang w:val="en-US" w:eastAsia="zh-CN"/>
        </w:rPr>
        <w:t>et al.</w:t>
      </w:r>
      <w:r>
        <w:rPr>
          <w:rFonts w:hint="eastAsia" w:ascii="Times New Roman" w:hAnsi="Times New Roman" w:cs="Times New Roman"/>
          <w:b w:val="0"/>
          <w:bCs w:val="0"/>
          <w:spacing w:val="4"/>
          <w:position w:val="2"/>
          <w:sz w:val="20"/>
          <w:szCs w:val="20"/>
          <w:lang w:val="en-US" w:eastAsia="zh-CN"/>
        </w:rPr>
        <w:t xml:space="preserve"> Generative AI for Sustainable Design: A Case Study in Design Education Practices. in </w:t>
      </w:r>
      <w:r>
        <w:rPr>
          <w:rFonts w:hint="eastAsia" w:ascii="Times New Roman" w:hAnsi="Times New Roman" w:cs="Times New Roman"/>
          <w:b w:val="0"/>
          <w:bCs w:val="0"/>
          <w:i/>
          <w:spacing w:val="4"/>
          <w:position w:val="2"/>
          <w:sz w:val="20"/>
          <w:szCs w:val="20"/>
          <w:lang w:val="en-US" w:eastAsia="zh-CN"/>
        </w:rPr>
        <w:t>Xi’an Jiaotong University</w:t>
      </w:r>
      <w:r>
        <w:rPr>
          <w:rFonts w:hint="eastAsia" w:ascii="Times New Roman" w:hAnsi="Times New Roman" w:cs="Times New Roman"/>
          <w:b w:val="0"/>
          <w:bCs w:val="0"/>
          <w:spacing w:val="4"/>
          <w:position w:val="2"/>
          <w:sz w:val="20"/>
          <w:szCs w:val="20"/>
          <w:lang w:val="en-US" w:eastAsia="zh-CN"/>
        </w:rPr>
        <w:t xml:space="preserve"> (eds Kurosu, M. &amp; Hashizume, A.) vol. 14687 59–78 (2024).</w:t>
      </w:r>
    </w:p>
    <w:p w14:paraId="4198F326">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4.</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Karal, Y. &amp; Sarialioglu, R. O. Examining the Relationship between Undergraduate Students’ Acceptance, Anxiety and Online Self-Regulation of Generative Artificial Intelligence. </w:t>
      </w:r>
      <w:r>
        <w:rPr>
          <w:rFonts w:hint="eastAsia" w:ascii="Times New Roman" w:hAnsi="Times New Roman" w:cs="Times New Roman"/>
          <w:b w:val="0"/>
          <w:bCs w:val="0"/>
          <w:i/>
          <w:spacing w:val="4"/>
          <w:position w:val="2"/>
          <w:sz w:val="20"/>
          <w:szCs w:val="20"/>
          <w:lang w:val="en-US" w:eastAsia="zh-CN"/>
        </w:rPr>
        <w:t>International Journal of Technology in Education</w:t>
      </w:r>
      <w:r>
        <w:rPr>
          <w:rFonts w:hint="eastAsia" w:ascii="Times New Roman" w:hAnsi="Times New Roman" w:cs="Times New Roman"/>
          <w:b w:val="0"/>
          <w:bCs w:val="0"/>
          <w:spacing w:val="4"/>
          <w:position w:val="2"/>
          <w:sz w:val="20"/>
          <w:szCs w:val="20"/>
          <w:lang w:val="en-US" w:eastAsia="zh-CN"/>
        </w:rPr>
        <w:t xml:space="preserve"> </w:t>
      </w:r>
      <w:r>
        <w:rPr>
          <w:rFonts w:hint="eastAsia" w:ascii="Times New Roman" w:hAnsi="Times New Roman" w:cs="Times New Roman"/>
          <w:b/>
          <w:bCs w:val="0"/>
          <w:spacing w:val="4"/>
          <w:position w:val="2"/>
          <w:sz w:val="20"/>
          <w:szCs w:val="20"/>
          <w:lang w:val="en-US" w:eastAsia="zh-CN"/>
        </w:rPr>
        <w:t>8</w:t>
      </w:r>
      <w:r>
        <w:rPr>
          <w:rFonts w:hint="eastAsia" w:ascii="Times New Roman" w:hAnsi="Times New Roman" w:cs="Times New Roman"/>
          <w:b w:val="0"/>
          <w:bCs w:val="0"/>
          <w:spacing w:val="4"/>
          <w:position w:val="2"/>
          <w:sz w:val="20"/>
          <w:szCs w:val="20"/>
          <w:lang w:val="en-US" w:eastAsia="zh-CN"/>
        </w:rPr>
        <w:t>, 445–466 (2025).</w:t>
      </w:r>
    </w:p>
    <w:p w14:paraId="475757B2">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5.</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Wang, X., Tan, S. C. &amp; Li, L. Technostress in university students’ technology-enhanced learning: An investigation from multidimensional person-environment misfit. </w:t>
      </w:r>
      <w:r>
        <w:rPr>
          <w:rFonts w:hint="eastAsia" w:ascii="Times New Roman" w:hAnsi="Times New Roman" w:cs="Times New Roman"/>
          <w:b w:val="0"/>
          <w:bCs w:val="0"/>
          <w:i/>
          <w:spacing w:val="4"/>
          <w:position w:val="2"/>
          <w:sz w:val="20"/>
          <w:szCs w:val="20"/>
          <w:lang w:val="en-US" w:eastAsia="zh-CN"/>
        </w:rPr>
        <w:t>Computers in Human Behavior</w:t>
      </w:r>
      <w:r>
        <w:rPr>
          <w:rFonts w:hint="eastAsia" w:ascii="Times New Roman" w:hAnsi="Times New Roman" w:cs="Times New Roman"/>
          <w:b w:val="0"/>
          <w:bCs w:val="0"/>
          <w:spacing w:val="4"/>
          <w:position w:val="2"/>
          <w:sz w:val="20"/>
          <w:szCs w:val="20"/>
          <w:lang w:val="en-US" w:eastAsia="zh-CN"/>
        </w:rPr>
        <w:t xml:space="preserve"> </w:t>
      </w:r>
      <w:r>
        <w:rPr>
          <w:rFonts w:hint="eastAsia" w:ascii="Times New Roman" w:hAnsi="Times New Roman" w:cs="Times New Roman"/>
          <w:b/>
          <w:bCs w:val="0"/>
          <w:spacing w:val="4"/>
          <w:position w:val="2"/>
          <w:sz w:val="20"/>
          <w:szCs w:val="20"/>
          <w:lang w:val="en-US" w:eastAsia="zh-CN"/>
        </w:rPr>
        <w:t>105</w:t>
      </w:r>
      <w:r>
        <w:rPr>
          <w:rFonts w:hint="eastAsia" w:ascii="Times New Roman" w:hAnsi="Times New Roman" w:cs="Times New Roman"/>
          <w:b w:val="0"/>
          <w:bCs w:val="0"/>
          <w:spacing w:val="4"/>
          <w:position w:val="2"/>
          <w:sz w:val="20"/>
          <w:szCs w:val="20"/>
          <w:lang w:val="en-US" w:eastAsia="zh-CN"/>
        </w:rPr>
        <w:t>, 106208 (2020).</w:t>
      </w:r>
    </w:p>
    <w:p w14:paraId="0710770A">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6.</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Formosa, P., Bankins, S., Matulionyte, R. &amp; Ghasemi, O. Can ChatGPT be an author? Generative AI creative writing assistance and perceptions of authorship, creatorship, responsibility, and disclosure. </w:t>
      </w:r>
      <w:r>
        <w:rPr>
          <w:rFonts w:hint="eastAsia" w:ascii="Times New Roman" w:hAnsi="Times New Roman" w:cs="Times New Roman"/>
          <w:b w:val="0"/>
          <w:bCs w:val="0"/>
          <w:i/>
          <w:spacing w:val="4"/>
          <w:position w:val="2"/>
          <w:sz w:val="20"/>
          <w:szCs w:val="20"/>
          <w:lang w:val="en-US" w:eastAsia="zh-CN"/>
        </w:rPr>
        <w:t>AI &amp; Soc</w:t>
      </w:r>
      <w:r>
        <w:rPr>
          <w:rFonts w:hint="eastAsia" w:ascii="Times New Roman" w:hAnsi="Times New Roman" w:cs="Times New Roman"/>
          <w:b w:val="0"/>
          <w:bCs w:val="0"/>
          <w:spacing w:val="4"/>
          <w:position w:val="2"/>
          <w:sz w:val="20"/>
          <w:szCs w:val="20"/>
          <w:lang w:val="en-US" w:eastAsia="zh-CN"/>
        </w:rPr>
        <w:t xml:space="preserve"> </w:t>
      </w:r>
      <w:r>
        <w:rPr>
          <w:rFonts w:hint="eastAsia" w:ascii="Times New Roman" w:hAnsi="Times New Roman" w:cs="Times New Roman"/>
          <w:b/>
          <w:bCs w:val="0"/>
          <w:spacing w:val="4"/>
          <w:position w:val="2"/>
          <w:sz w:val="20"/>
          <w:szCs w:val="20"/>
          <w:lang w:val="en-US" w:eastAsia="zh-CN"/>
        </w:rPr>
        <w:t>40</w:t>
      </w:r>
      <w:r>
        <w:rPr>
          <w:rFonts w:hint="eastAsia" w:ascii="Times New Roman" w:hAnsi="Times New Roman" w:cs="Times New Roman"/>
          <w:b w:val="0"/>
          <w:bCs w:val="0"/>
          <w:spacing w:val="4"/>
          <w:position w:val="2"/>
          <w:sz w:val="20"/>
          <w:szCs w:val="20"/>
          <w:lang w:val="en-US" w:eastAsia="zh-CN"/>
        </w:rPr>
        <w:t>, 3405–3417 (2025).</w:t>
      </w:r>
    </w:p>
    <w:p w14:paraId="12206B07">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7.</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Tsao, J., Liang, C. X., Nogues, C. &amp; Wong, A. Perceptions and integration of generative artificial intelligence in creative practices and industries: a scoping review and conceptual model. </w:t>
      </w:r>
      <w:r>
        <w:rPr>
          <w:rFonts w:hint="eastAsia" w:ascii="Times New Roman" w:hAnsi="Times New Roman" w:cs="Times New Roman"/>
          <w:b w:val="0"/>
          <w:bCs w:val="0"/>
          <w:i/>
          <w:spacing w:val="4"/>
          <w:position w:val="2"/>
          <w:sz w:val="20"/>
          <w:szCs w:val="20"/>
          <w:lang w:val="en-US" w:eastAsia="zh-CN"/>
        </w:rPr>
        <w:t>AI &amp; Soc</w:t>
      </w:r>
      <w:r>
        <w:rPr>
          <w:rFonts w:hint="eastAsia" w:ascii="Times New Roman" w:hAnsi="Times New Roman" w:cs="Times New Roman"/>
          <w:b w:val="0"/>
          <w:bCs w:val="0"/>
          <w:spacing w:val="4"/>
          <w:position w:val="2"/>
          <w:sz w:val="20"/>
          <w:szCs w:val="20"/>
          <w:lang w:val="en-US" w:eastAsia="zh-CN"/>
        </w:rPr>
        <w:t xml:space="preserve"> https://doi.org/10.1007/s00146-025-02667-2 (2025) doi:10.1007/s00146-025-02667-2.</w:t>
      </w:r>
    </w:p>
    <w:p w14:paraId="389A9AE5">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8.</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Heigl, R. Generative artificial intelligence in creative contexts: a systematic review and future research agenda. </w:t>
      </w:r>
      <w:r>
        <w:rPr>
          <w:rFonts w:hint="eastAsia" w:ascii="Times New Roman" w:hAnsi="Times New Roman" w:cs="Times New Roman"/>
          <w:b w:val="0"/>
          <w:bCs w:val="0"/>
          <w:i/>
          <w:spacing w:val="4"/>
          <w:position w:val="2"/>
          <w:sz w:val="20"/>
          <w:szCs w:val="20"/>
          <w:lang w:val="en-US" w:eastAsia="zh-CN"/>
        </w:rPr>
        <w:t>Manag Rev Q</w:t>
      </w:r>
      <w:r>
        <w:rPr>
          <w:rFonts w:hint="eastAsia" w:ascii="Times New Roman" w:hAnsi="Times New Roman" w:cs="Times New Roman"/>
          <w:b w:val="0"/>
          <w:bCs w:val="0"/>
          <w:spacing w:val="4"/>
          <w:position w:val="2"/>
          <w:sz w:val="20"/>
          <w:szCs w:val="20"/>
          <w:lang w:val="en-US" w:eastAsia="zh-CN"/>
        </w:rPr>
        <w:t xml:space="preserve"> https://doi.org/10.1007/s11301-025-00494-9 (2025) doi:10.1007/s11301-025-00494-9.</w:t>
      </w:r>
    </w:p>
    <w:p w14:paraId="6D386538">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9.</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Wei, X., Wang, L., Lee, L.-K. &amp; Liu, R. The effects of generative AI on collaborative problem-solving and team creativity performance in digital story creation: an experimental study. </w:t>
      </w:r>
      <w:r>
        <w:rPr>
          <w:rFonts w:hint="eastAsia" w:ascii="Times New Roman" w:hAnsi="Times New Roman" w:cs="Times New Roman"/>
          <w:b w:val="0"/>
          <w:bCs w:val="0"/>
          <w:i/>
          <w:spacing w:val="4"/>
          <w:position w:val="2"/>
          <w:sz w:val="20"/>
          <w:szCs w:val="20"/>
          <w:lang w:val="en-US" w:eastAsia="zh-CN"/>
        </w:rPr>
        <w:t>Int J Educ Technol High Educ</w:t>
      </w:r>
      <w:r>
        <w:rPr>
          <w:rFonts w:hint="eastAsia" w:ascii="Times New Roman" w:hAnsi="Times New Roman" w:cs="Times New Roman"/>
          <w:b w:val="0"/>
          <w:bCs w:val="0"/>
          <w:spacing w:val="4"/>
          <w:position w:val="2"/>
          <w:sz w:val="20"/>
          <w:szCs w:val="20"/>
          <w:lang w:val="en-US" w:eastAsia="zh-CN"/>
        </w:rPr>
        <w:t xml:space="preserve"> </w:t>
      </w:r>
      <w:r>
        <w:rPr>
          <w:rFonts w:hint="eastAsia" w:ascii="Times New Roman" w:hAnsi="Times New Roman" w:cs="Times New Roman"/>
          <w:b/>
          <w:bCs w:val="0"/>
          <w:spacing w:val="4"/>
          <w:position w:val="2"/>
          <w:sz w:val="20"/>
          <w:szCs w:val="20"/>
          <w:lang w:val="en-US" w:eastAsia="zh-CN"/>
        </w:rPr>
        <w:t>22</w:t>
      </w:r>
      <w:r>
        <w:rPr>
          <w:rFonts w:hint="eastAsia" w:ascii="Times New Roman" w:hAnsi="Times New Roman" w:cs="Times New Roman"/>
          <w:b w:val="0"/>
          <w:bCs w:val="0"/>
          <w:spacing w:val="4"/>
          <w:position w:val="2"/>
          <w:sz w:val="20"/>
          <w:szCs w:val="20"/>
          <w:lang w:val="en-US" w:eastAsia="zh-CN"/>
        </w:rPr>
        <w:t>, 23 (2025).</w:t>
      </w:r>
    </w:p>
    <w:p w14:paraId="2577C1F7">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10.</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Sidorkin, A. M. Leapfrogging Effect Hypothesis: Generative Ai as a Permanent Scaffold in Higher Education. SSRN Scholarly Paper at https://doi.org/10.2139/ssrn.5230565 (2025).</w:t>
      </w:r>
    </w:p>
    <w:p w14:paraId="0E20FB26">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11.</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Kasneci, E. </w:t>
      </w:r>
      <w:r>
        <w:rPr>
          <w:rFonts w:hint="eastAsia" w:ascii="Times New Roman" w:hAnsi="Times New Roman" w:cs="Times New Roman"/>
          <w:b w:val="0"/>
          <w:bCs w:val="0"/>
          <w:i/>
          <w:spacing w:val="4"/>
          <w:position w:val="2"/>
          <w:sz w:val="20"/>
          <w:szCs w:val="20"/>
          <w:lang w:val="en-US" w:eastAsia="zh-CN"/>
        </w:rPr>
        <w:t>et al.</w:t>
      </w:r>
      <w:r>
        <w:rPr>
          <w:rFonts w:hint="eastAsia" w:ascii="Times New Roman" w:hAnsi="Times New Roman" w:cs="Times New Roman"/>
          <w:b w:val="0"/>
          <w:bCs w:val="0"/>
          <w:spacing w:val="4"/>
          <w:position w:val="2"/>
          <w:sz w:val="20"/>
          <w:szCs w:val="20"/>
          <w:lang w:val="en-US" w:eastAsia="zh-CN"/>
        </w:rPr>
        <w:t xml:space="preserve"> ChatGPT for good? On opportunities and challenges of large language models for education. </w:t>
      </w:r>
      <w:r>
        <w:rPr>
          <w:rFonts w:hint="eastAsia" w:ascii="Times New Roman" w:hAnsi="Times New Roman" w:cs="Times New Roman"/>
          <w:b w:val="0"/>
          <w:bCs w:val="0"/>
          <w:i/>
          <w:spacing w:val="4"/>
          <w:position w:val="2"/>
          <w:sz w:val="20"/>
          <w:szCs w:val="20"/>
          <w:lang w:val="en-US" w:eastAsia="zh-CN"/>
        </w:rPr>
        <w:t>Learning and Individual Differences</w:t>
      </w:r>
      <w:r>
        <w:rPr>
          <w:rFonts w:hint="eastAsia" w:ascii="Times New Roman" w:hAnsi="Times New Roman" w:cs="Times New Roman"/>
          <w:b w:val="0"/>
          <w:bCs w:val="0"/>
          <w:spacing w:val="4"/>
          <w:position w:val="2"/>
          <w:sz w:val="20"/>
          <w:szCs w:val="20"/>
          <w:lang w:val="en-US" w:eastAsia="zh-CN"/>
        </w:rPr>
        <w:t xml:space="preserve"> </w:t>
      </w:r>
      <w:r>
        <w:rPr>
          <w:rFonts w:hint="eastAsia" w:ascii="Times New Roman" w:hAnsi="Times New Roman" w:cs="Times New Roman"/>
          <w:b/>
          <w:bCs w:val="0"/>
          <w:spacing w:val="4"/>
          <w:position w:val="2"/>
          <w:sz w:val="20"/>
          <w:szCs w:val="20"/>
          <w:lang w:val="en-US" w:eastAsia="zh-CN"/>
        </w:rPr>
        <w:t>103</w:t>
      </w:r>
      <w:r>
        <w:rPr>
          <w:rFonts w:hint="eastAsia" w:ascii="Times New Roman" w:hAnsi="Times New Roman" w:cs="Times New Roman"/>
          <w:b w:val="0"/>
          <w:bCs w:val="0"/>
          <w:spacing w:val="4"/>
          <w:position w:val="2"/>
          <w:sz w:val="20"/>
          <w:szCs w:val="20"/>
          <w:lang w:val="en-US" w:eastAsia="zh-CN"/>
        </w:rPr>
        <w:t>, 102274 (2023).</w:t>
      </w:r>
    </w:p>
    <w:p w14:paraId="72EA9879">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12.</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Hutka, S. Designing AI to Think with Us, Not for Us. </w:t>
      </w:r>
      <w:r>
        <w:rPr>
          <w:rFonts w:hint="eastAsia" w:ascii="Times New Roman" w:hAnsi="Times New Roman" w:cs="Times New Roman"/>
          <w:b w:val="0"/>
          <w:bCs w:val="0"/>
          <w:i/>
          <w:spacing w:val="4"/>
          <w:position w:val="2"/>
          <w:sz w:val="20"/>
          <w:szCs w:val="20"/>
          <w:lang w:val="en-US" w:eastAsia="zh-CN"/>
        </w:rPr>
        <w:t>Ethnographic Praxis in Industry Conference Proceedings</w:t>
      </w:r>
      <w:r>
        <w:rPr>
          <w:rFonts w:hint="eastAsia" w:ascii="Times New Roman" w:hAnsi="Times New Roman" w:cs="Times New Roman"/>
          <w:b w:val="0"/>
          <w:bCs w:val="0"/>
          <w:spacing w:val="4"/>
          <w:position w:val="2"/>
          <w:sz w:val="20"/>
          <w:szCs w:val="20"/>
          <w:lang w:val="en-US" w:eastAsia="zh-CN"/>
        </w:rPr>
        <w:t xml:space="preserve"> </w:t>
      </w:r>
      <w:r>
        <w:rPr>
          <w:rFonts w:hint="eastAsia" w:ascii="Times New Roman" w:hAnsi="Times New Roman" w:cs="Times New Roman"/>
          <w:b/>
          <w:bCs w:val="0"/>
          <w:spacing w:val="4"/>
          <w:position w:val="2"/>
          <w:sz w:val="20"/>
          <w:szCs w:val="20"/>
          <w:lang w:val="en-US" w:eastAsia="zh-CN"/>
        </w:rPr>
        <w:t>2024</w:t>
      </w:r>
      <w:r>
        <w:rPr>
          <w:rFonts w:hint="eastAsia" w:ascii="Times New Roman" w:hAnsi="Times New Roman" w:cs="Times New Roman"/>
          <w:b w:val="0"/>
          <w:bCs w:val="0"/>
          <w:spacing w:val="4"/>
          <w:position w:val="2"/>
          <w:sz w:val="20"/>
          <w:szCs w:val="20"/>
          <w:lang w:val="en-US" w:eastAsia="zh-CN"/>
        </w:rPr>
        <w:t>, 112–133 (2024).</w:t>
      </w:r>
    </w:p>
    <w:p w14:paraId="461216E7">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13.</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Zhou, J., Lu, Y. &amp; Chen, Q. GAI identity threat: When and why do individuals feel threatened? </w:t>
      </w:r>
      <w:r>
        <w:rPr>
          <w:rFonts w:hint="eastAsia" w:ascii="Times New Roman" w:hAnsi="Times New Roman" w:cs="Times New Roman"/>
          <w:b w:val="0"/>
          <w:bCs w:val="0"/>
          <w:i/>
          <w:spacing w:val="4"/>
          <w:position w:val="2"/>
          <w:sz w:val="20"/>
          <w:szCs w:val="20"/>
          <w:lang w:val="en-US" w:eastAsia="zh-CN"/>
        </w:rPr>
        <w:t>Information &amp; Management</w:t>
      </w:r>
      <w:r>
        <w:rPr>
          <w:rFonts w:hint="eastAsia" w:ascii="Times New Roman" w:hAnsi="Times New Roman" w:cs="Times New Roman"/>
          <w:b w:val="0"/>
          <w:bCs w:val="0"/>
          <w:spacing w:val="4"/>
          <w:position w:val="2"/>
          <w:sz w:val="20"/>
          <w:szCs w:val="20"/>
          <w:lang w:val="en-US" w:eastAsia="zh-CN"/>
        </w:rPr>
        <w:t xml:space="preserve"> </w:t>
      </w:r>
      <w:r>
        <w:rPr>
          <w:rFonts w:hint="eastAsia" w:ascii="Times New Roman" w:hAnsi="Times New Roman" w:cs="Times New Roman"/>
          <w:b/>
          <w:bCs w:val="0"/>
          <w:spacing w:val="4"/>
          <w:position w:val="2"/>
          <w:sz w:val="20"/>
          <w:szCs w:val="20"/>
          <w:lang w:val="en-US" w:eastAsia="zh-CN"/>
        </w:rPr>
        <w:t>62</w:t>
      </w:r>
      <w:r>
        <w:rPr>
          <w:rFonts w:hint="eastAsia" w:ascii="Times New Roman" w:hAnsi="Times New Roman" w:cs="Times New Roman"/>
          <w:b w:val="0"/>
          <w:bCs w:val="0"/>
          <w:spacing w:val="4"/>
          <w:position w:val="2"/>
          <w:sz w:val="20"/>
          <w:szCs w:val="20"/>
          <w:lang w:val="en-US" w:eastAsia="zh-CN"/>
        </w:rPr>
        <w:t>, 104093 (2025).</w:t>
      </w:r>
    </w:p>
    <w:p w14:paraId="355086F2">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14.</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Beresford, K., Kern, M. L. &amp; Jarden, A. The creative-being model: the role of negative emotion in creative flourishing and the impact on positive education. </w:t>
      </w:r>
      <w:r>
        <w:rPr>
          <w:rFonts w:hint="eastAsia" w:ascii="Times New Roman" w:hAnsi="Times New Roman" w:cs="Times New Roman"/>
          <w:b w:val="0"/>
          <w:bCs w:val="0"/>
          <w:i/>
          <w:spacing w:val="4"/>
          <w:position w:val="2"/>
          <w:sz w:val="20"/>
          <w:szCs w:val="20"/>
          <w:lang w:val="en-US" w:eastAsia="zh-CN"/>
        </w:rPr>
        <w:t>The Journal of Positive Psychology</w:t>
      </w:r>
      <w:r>
        <w:rPr>
          <w:rFonts w:hint="eastAsia" w:ascii="Times New Roman" w:hAnsi="Times New Roman" w:cs="Times New Roman"/>
          <w:b w:val="0"/>
          <w:bCs w:val="0"/>
          <w:spacing w:val="4"/>
          <w:position w:val="2"/>
          <w:sz w:val="20"/>
          <w:szCs w:val="20"/>
          <w:lang w:val="en-US" w:eastAsia="zh-CN"/>
        </w:rPr>
        <w:t xml:space="preserve"> </w:t>
      </w:r>
      <w:r>
        <w:rPr>
          <w:rFonts w:hint="eastAsia" w:ascii="Times New Roman" w:hAnsi="Times New Roman" w:cs="Times New Roman"/>
          <w:b/>
          <w:bCs w:val="0"/>
          <w:spacing w:val="4"/>
          <w:position w:val="2"/>
          <w:sz w:val="20"/>
          <w:szCs w:val="20"/>
          <w:lang w:val="en-US" w:eastAsia="zh-CN"/>
        </w:rPr>
        <w:t>20</w:t>
      </w:r>
      <w:r>
        <w:rPr>
          <w:rFonts w:hint="eastAsia" w:ascii="Times New Roman" w:hAnsi="Times New Roman" w:cs="Times New Roman"/>
          <w:b w:val="0"/>
          <w:bCs w:val="0"/>
          <w:spacing w:val="4"/>
          <w:position w:val="2"/>
          <w:sz w:val="20"/>
          <w:szCs w:val="20"/>
          <w:lang w:val="en-US" w:eastAsia="zh-CN"/>
        </w:rPr>
        <w:t>, 59–71 (2025).</w:t>
      </w:r>
    </w:p>
    <w:p w14:paraId="05447599">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15.</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Ovcharenko, N., Merezhko, Y., Ovcharenko-Pieshkova, O., Andreichyk, B. &amp; Chebotarenko, O. Formation of Students’ Health Culture through Innovative Technologies of Artistic and Creative Music Education. </w:t>
      </w:r>
      <w:r>
        <w:rPr>
          <w:rFonts w:hint="eastAsia" w:ascii="Times New Roman" w:hAnsi="Times New Roman" w:cs="Times New Roman"/>
          <w:b w:val="0"/>
          <w:bCs w:val="0"/>
          <w:i/>
          <w:spacing w:val="4"/>
          <w:position w:val="2"/>
          <w:sz w:val="20"/>
          <w:szCs w:val="20"/>
          <w:lang w:val="en-US" w:eastAsia="zh-CN"/>
        </w:rPr>
        <w:t>Revista Romaneasca pentru Educatie Multidimensionala</w:t>
      </w:r>
      <w:r>
        <w:rPr>
          <w:rFonts w:hint="eastAsia" w:ascii="Times New Roman" w:hAnsi="Times New Roman" w:cs="Times New Roman"/>
          <w:b w:val="0"/>
          <w:bCs w:val="0"/>
          <w:spacing w:val="4"/>
          <w:position w:val="2"/>
          <w:sz w:val="20"/>
          <w:szCs w:val="20"/>
          <w:lang w:val="en-US" w:eastAsia="zh-CN"/>
        </w:rPr>
        <w:t xml:space="preserve"> </w:t>
      </w:r>
      <w:r>
        <w:rPr>
          <w:rFonts w:hint="eastAsia" w:ascii="Times New Roman" w:hAnsi="Times New Roman" w:cs="Times New Roman"/>
          <w:b/>
          <w:bCs w:val="0"/>
          <w:spacing w:val="4"/>
          <w:position w:val="2"/>
          <w:sz w:val="20"/>
          <w:szCs w:val="20"/>
          <w:lang w:val="en-US" w:eastAsia="zh-CN"/>
        </w:rPr>
        <w:t>17</w:t>
      </w:r>
      <w:r>
        <w:rPr>
          <w:rFonts w:hint="eastAsia" w:ascii="Times New Roman" w:hAnsi="Times New Roman" w:cs="Times New Roman"/>
          <w:b w:val="0"/>
          <w:bCs w:val="0"/>
          <w:spacing w:val="4"/>
          <w:position w:val="2"/>
          <w:sz w:val="20"/>
          <w:szCs w:val="20"/>
          <w:lang w:val="en-US" w:eastAsia="zh-CN"/>
        </w:rPr>
        <w:t>, 518–546 (2025).</w:t>
      </w:r>
    </w:p>
    <w:p w14:paraId="35EB79BF">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16.</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Harrington, B., Zlotnikova, I., Nadarajan, G. &amp; Ekundayo, S. Did Alice Do Wrong? Cross-Cultural Differences in Student Perceptions of Generative AI Use in University Computing Education. </w:t>
      </w:r>
      <w:r>
        <w:rPr>
          <w:rFonts w:hint="eastAsia" w:ascii="Times New Roman" w:hAnsi="Times New Roman" w:cs="Times New Roman"/>
          <w:b w:val="0"/>
          <w:bCs w:val="0"/>
          <w:i/>
          <w:spacing w:val="4"/>
          <w:position w:val="2"/>
          <w:sz w:val="20"/>
          <w:szCs w:val="20"/>
          <w:lang w:val="en-US" w:eastAsia="zh-CN"/>
        </w:rPr>
        <w:t>ACM Trans. Comput. Educ.</w:t>
      </w:r>
      <w:r>
        <w:rPr>
          <w:rFonts w:hint="eastAsia" w:ascii="Times New Roman" w:hAnsi="Times New Roman" w:cs="Times New Roman"/>
          <w:b w:val="0"/>
          <w:bCs w:val="0"/>
          <w:spacing w:val="4"/>
          <w:position w:val="2"/>
          <w:sz w:val="20"/>
          <w:szCs w:val="20"/>
          <w:lang w:val="en-US" w:eastAsia="zh-CN"/>
        </w:rPr>
        <w:t xml:space="preserve"> </w:t>
      </w:r>
      <w:r>
        <w:rPr>
          <w:rFonts w:hint="eastAsia" w:ascii="Times New Roman" w:hAnsi="Times New Roman" w:cs="Times New Roman"/>
          <w:b/>
          <w:bCs w:val="0"/>
          <w:spacing w:val="4"/>
          <w:position w:val="2"/>
          <w:sz w:val="20"/>
          <w:szCs w:val="20"/>
          <w:lang w:val="en-US" w:eastAsia="zh-CN"/>
        </w:rPr>
        <w:t>26</w:t>
      </w:r>
      <w:r>
        <w:rPr>
          <w:rFonts w:hint="eastAsia" w:ascii="Times New Roman" w:hAnsi="Times New Roman" w:cs="Times New Roman"/>
          <w:b w:val="0"/>
          <w:bCs w:val="0"/>
          <w:spacing w:val="4"/>
          <w:position w:val="2"/>
          <w:sz w:val="20"/>
          <w:szCs w:val="20"/>
          <w:lang w:val="en-US" w:eastAsia="zh-CN"/>
        </w:rPr>
        <w:t>, 15:1-15:23 (2025).</w:t>
      </w:r>
    </w:p>
    <w:p w14:paraId="157521EA">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17.</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Wang, X. Investigating the impact of ChatGPT technology on modern life in East Asian countries and creating a new cultural revolution. Preprint at https://doi.org/10.21203/rs.3.rs-7502268/v1 (2025).</w:t>
      </w:r>
    </w:p>
    <w:p w14:paraId="1C2E04EB">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18.</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Wang, A. &amp; Wu, X. Building a triadic model of technology, motivation, and engagement: a mixed-methods study of AI teaching assistants in design theory education. </w:t>
      </w:r>
      <w:r>
        <w:rPr>
          <w:rFonts w:hint="eastAsia" w:ascii="Times New Roman" w:hAnsi="Times New Roman" w:cs="Times New Roman"/>
          <w:b w:val="0"/>
          <w:bCs w:val="0"/>
          <w:i/>
          <w:spacing w:val="4"/>
          <w:position w:val="2"/>
          <w:sz w:val="20"/>
          <w:szCs w:val="20"/>
          <w:lang w:val="en-US" w:eastAsia="zh-CN"/>
        </w:rPr>
        <w:t>Front. Psychol.</w:t>
      </w:r>
      <w:r>
        <w:rPr>
          <w:rFonts w:hint="eastAsia" w:ascii="Times New Roman" w:hAnsi="Times New Roman" w:cs="Times New Roman"/>
          <w:b w:val="0"/>
          <w:bCs w:val="0"/>
          <w:spacing w:val="4"/>
          <w:position w:val="2"/>
          <w:sz w:val="20"/>
          <w:szCs w:val="20"/>
          <w:lang w:val="en-US" w:eastAsia="zh-CN"/>
        </w:rPr>
        <w:t xml:space="preserve"> </w:t>
      </w:r>
      <w:r>
        <w:rPr>
          <w:rFonts w:hint="eastAsia" w:ascii="Times New Roman" w:hAnsi="Times New Roman" w:cs="Times New Roman"/>
          <w:b/>
          <w:bCs w:val="0"/>
          <w:spacing w:val="4"/>
          <w:position w:val="2"/>
          <w:sz w:val="20"/>
          <w:szCs w:val="20"/>
          <w:lang w:val="en-US" w:eastAsia="zh-CN"/>
        </w:rPr>
        <w:t>16</w:t>
      </w:r>
      <w:r>
        <w:rPr>
          <w:rFonts w:hint="eastAsia" w:ascii="Times New Roman" w:hAnsi="Times New Roman" w:cs="Times New Roman"/>
          <w:b w:val="0"/>
          <w:bCs w:val="0"/>
          <w:spacing w:val="4"/>
          <w:position w:val="2"/>
          <w:sz w:val="20"/>
          <w:szCs w:val="20"/>
          <w:lang w:val="en-US" w:eastAsia="zh-CN"/>
        </w:rPr>
        <w:t>, (2025).</w:t>
      </w:r>
    </w:p>
    <w:p w14:paraId="01454990">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19.</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Yi, R., Liu, D., Sun, X. &amp; Zhou, B. Exploring the link between AI usage intention and digital competence among college PE teachers: A moderated mediation model based on SCT and UTAUT. </w:t>
      </w:r>
      <w:r>
        <w:rPr>
          <w:rFonts w:hint="eastAsia" w:ascii="Times New Roman" w:hAnsi="Times New Roman" w:cs="Times New Roman"/>
          <w:b w:val="0"/>
          <w:bCs w:val="0"/>
          <w:i/>
          <w:spacing w:val="4"/>
          <w:position w:val="2"/>
          <w:sz w:val="20"/>
          <w:szCs w:val="20"/>
          <w:lang w:val="en-US" w:eastAsia="zh-CN"/>
        </w:rPr>
        <w:t>PLOS ONE</w:t>
      </w:r>
      <w:r>
        <w:rPr>
          <w:rFonts w:hint="eastAsia" w:ascii="Times New Roman" w:hAnsi="Times New Roman" w:cs="Times New Roman"/>
          <w:b w:val="0"/>
          <w:bCs w:val="0"/>
          <w:spacing w:val="4"/>
          <w:position w:val="2"/>
          <w:sz w:val="20"/>
          <w:szCs w:val="20"/>
          <w:lang w:val="en-US" w:eastAsia="zh-CN"/>
        </w:rPr>
        <w:t xml:space="preserve"> </w:t>
      </w:r>
      <w:r>
        <w:rPr>
          <w:rFonts w:hint="eastAsia" w:ascii="Times New Roman" w:hAnsi="Times New Roman" w:cs="Times New Roman"/>
          <w:b/>
          <w:bCs w:val="0"/>
          <w:spacing w:val="4"/>
          <w:position w:val="2"/>
          <w:sz w:val="20"/>
          <w:szCs w:val="20"/>
          <w:lang w:val="en-US" w:eastAsia="zh-CN"/>
        </w:rPr>
        <w:t>20</w:t>
      </w:r>
      <w:r>
        <w:rPr>
          <w:rFonts w:hint="eastAsia" w:ascii="Times New Roman" w:hAnsi="Times New Roman" w:cs="Times New Roman"/>
          <w:b w:val="0"/>
          <w:bCs w:val="0"/>
          <w:spacing w:val="4"/>
          <w:position w:val="2"/>
          <w:sz w:val="20"/>
          <w:szCs w:val="20"/>
          <w:lang w:val="en-US" w:eastAsia="zh-CN"/>
        </w:rPr>
        <w:t>, e0334699 (2025).</w:t>
      </w:r>
    </w:p>
    <w:p w14:paraId="3C668A15">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20.</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Barakat, M., Salim, N. A. &amp; Sallam, M. University educators perspectives on ChatGPT: A technology acceptance model-based study. </w:t>
      </w:r>
      <w:r>
        <w:rPr>
          <w:rFonts w:hint="eastAsia" w:ascii="Times New Roman" w:hAnsi="Times New Roman" w:cs="Times New Roman"/>
          <w:b w:val="0"/>
          <w:bCs w:val="0"/>
          <w:i/>
          <w:spacing w:val="4"/>
          <w:position w:val="2"/>
          <w:sz w:val="20"/>
          <w:szCs w:val="20"/>
          <w:lang w:val="en-US" w:eastAsia="zh-CN"/>
        </w:rPr>
        <w:t>Open Praxis</w:t>
      </w:r>
      <w:r>
        <w:rPr>
          <w:rFonts w:hint="eastAsia" w:ascii="Times New Roman" w:hAnsi="Times New Roman" w:cs="Times New Roman"/>
          <w:b w:val="0"/>
          <w:bCs w:val="0"/>
          <w:spacing w:val="4"/>
          <w:position w:val="2"/>
          <w:sz w:val="20"/>
          <w:szCs w:val="20"/>
          <w:lang w:val="en-US" w:eastAsia="zh-CN"/>
        </w:rPr>
        <w:t xml:space="preserve"> </w:t>
      </w:r>
      <w:r>
        <w:rPr>
          <w:rFonts w:hint="eastAsia" w:ascii="Times New Roman" w:hAnsi="Times New Roman" w:cs="Times New Roman"/>
          <w:b/>
          <w:bCs w:val="0"/>
          <w:spacing w:val="4"/>
          <w:position w:val="2"/>
          <w:sz w:val="20"/>
          <w:szCs w:val="20"/>
          <w:lang w:val="en-US" w:eastAsia="zh-CN"/>
        </w:rPr>
        <w:t>17</w:t>
      </w:r>
      <w:r>
        <w:rPr>
          <w:rFonts w:hint="eastAsia" w:ascii="Times New Roman" w:hAnsi="Times New Roman" w:cs="Times New Roman"/>
          <w:b w:val="0"/>
          <w:bCs w:val="0"/>
          <w:spacing w:val="4"/>
          <w:position w:val="2"/>
          <w:sz w:val="20"/>
          <w:szCs w:val="20"/>
          <w:lang w:val="en-US" w:eastAsia="zh-CN"/>
        </w:rPr>
        <w:t>, 129–144 (2025).</w:t>
      </w:r>
    </w:p>
    <w:p w14:paraId="4CA66A6F">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21.</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Lan, Y., Liu, S., Chen, H. &amp; Xia, L. Mindfulness and AI adoption: extending the technology acceptance model for Chinese media students. </w:t>
      </w:r>
      <w:r>
        <w:rPr>
          <w:rFonts w:hint="eastAsia" w:ascii="Times New Roman" w:hAnsi="Times New Roman" w:cs="Times New Roman"/>
          <w:b w:val="0"/>
          <w:bCs w:val="0"/>
          <w:i/>
          <w:spacing w:val="4"/>
          <w:position w:val="2"/>
          <w:sz w:val="20"/>
          <w:szCs w:val="20"/>
          <w:lang w:val="en-US" w:eastAsia="zh-CN"/>
        </w:rPr>
        <w:t>Front. Psychol.</w:t>
      </w:r>
      <w:r>
        <w:rPr>
          <w:rFonts w:hint="eastAsia" w:ascii="Times New Roman" w:hAnsi="Times New Roman" w:cs="Times New Roman"/>
          <w:b w:val="0"/>
          <w:bCs w:val="0"/>
          <w:spacing w:val="4"/>
          <w:position w:val="2"/>
          <w:sz w:val="20"/>
          <w:szCs w:val="20"/>
          <w:lang w:val="en-US" w:eastAsia="zh-CN"/>
        </w:rPr>
        <w:t xml:space="preserve"> </w:t>
      </w:r>
      <w:r>
        <w:rPr>
          <w:rFonts w:hint="eastAsia" w:ascii="Times New Roman" w:hAnsi="Times New Roman" w:cs="Times New Roman"/>
          <w:b/>
          <w:bCs w:val="0"/>
          <w:spacing w:val="4"/>
          <w:position w:val="2"/>
          <w:sz w:val="20"/>
          <w:szCs w:val="20"/>
          <w:lang w:val="en-US" w:eastAsia="zh-CN"/>
        </w:rPr>
        <w:t>16</w:t>
      </w:r>
      <w:r>
        <w:rPr>
          <w:rFonts w:hint="eastAsia" w:ascii="Times New Roman" w:hAnsi="Times New Roman" w:cs="Times New Roman"/>
          <w:b w:val="0"/>
          <w:bCs w:val="0"/>
          <w:spacing w:val="4"/>
          <w:position w:val="2"/>
          <w:sz w:val="20"/>
          <w:szCs w:val="20"/>
          <w:lang w:val="en-US" w:eastAsia="zh-CN"/>
        </w:rPr>
        <w:t>, (2025).</w:t>
      </w:r>
    </w:p>
    <w:p w14:paraId="5DF6F95E">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22.</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Şimşek, A. S., Cengiz, G. Ş. T. &amp; Bal, M. Extending the TAM framework: Exploring learning motivation and agility in educational adoption of generative AI. </w:t>
      </w:r>
      <w:r>
        <w:rPr>
          <w:rFonts w:hint="eastAsia" w:ascii="Times New Roman" w:hAnsi="Times New Roman" w:cs="Times New Roman"/>
          <w:b w:val="0"/>
          <w:bCs w:val="0"/>
          <w:i/>
          <w:spacing w:val="4"/>
          <w:position w:val="2"/>
          <w:sz w:val="20"/>
          <w:szCs w:val="20"/>
          <w:lang w:val="en-US" w:eastAsia="zh-CN"/>
        </w:rPr>
        <w:t>Educ Inf Technol</w:t>
      </w:r>
      <w:r>
        <w:rPr>
          <w:rFonts w:hint="eastAsia" w:ascii="Times New Roman" w:hAnsi="Times New Roman" w:cs="Times New Roman"/>
          <w:b w:val="0"/>
          <w:bCs w:val="0"/>
          <w:spacing w:val="4"/>
          <w:position w:val="2"/>
          <w:sz w:val="20"/>
          <w:szCs w:val="20"/>
          <w:lang w:val="en-US" w:eastAsia="zh-CN"/>
        </w:rPr>
        <w:t xml:space="preserve"> </w:t>
      </w:r>
      <w:r>
        <w:rPr>
          <w:rFonts w:hint="eastAsia" w:ascii="Times New Roman" w:hAnsi="Times New Roman" w:cs="Times New Roman"/>
          <w:b/>
          <w:bCs w:val="0"/>
          <w:spacing w:val="4"/>
          <w:position w:val="2"/>
          <w:sz w:val="20"/>
          <w:szCs w:val="20"/>
          <w:lang w:val="en-US" w:eastAsia="zh-CN"/>
        </w:rPr>
        <w:t>30</w:t>
      </w:r>
      <w:r>
        <w:rPr>
          <w:rFonts w:hint="eastAsia" w:ascii="Times New Roman" w:hAnsi="Times New Roman" w:cs="Times New Roman"/>
          <w:b w:val="0"/>
          <w:bCs w:val="0"/>
          <w:spacing w:val="4"/>
          <w:position w:val="2"/>
          <w:sz w:val="20"/>
          <w:szCs w:val="20"/>
          <w:lang w:val="en-US" w:eastAsia="zh-CN"/>
        </w:rPr>
        <w:t>, 20913–20942 (2025).</w:t>
      </w:r>
    </w:p>
    <w:p w14:paraId="764F5F1A">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23.</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Song, J. &amp; Liu, S. Dark personality traits are associated with academic misconduct, frustration, negative thinking, and generative AI use habits: the case of Sichuan art universities. </w:t>
      </w:r>
      <w:r>
        <w:rPr>
          <w:rFonts w:hint="eastAsia" w:ascii="Times New Roman" w:hAnsi="Times New Roman" w:cs="Times New Roman"/>
          <w:b w:val="0"/>
          <w:bCs w:val="0"/>
          <w:i/>
          <w:spacing w:val="4"/>
          <w:position w:val="2"/>
          <w:sz w:val="20"/>
          <w:szCs w:val="20"/>
          <w:lang w:val="en-US" w:eastAsia="zh-CN"/>
        </w:rPr>
        <w:t>BMC PSYCHOLOGY</w:t>
      </w:r>
      <w:r>
        <w:rPr>
          <w:rFonts w:hint="eastAsia" w:ascii="Times New Roman" w:hAnsi="Times New Roman" w:cs="Times New Roman"/>
          <w:b w:val="0"/>
          <w:bCs w:val="0"/>
          <w:spacing w:val="4"/>
          <w:position w:val="2"/>
          <w:sz w:val="20"/>
          <w:szCs w:val="20"/>
          <w:lang w:val="en-US" w:eastAsia="zh-CN"/>
        </w:rPr>
        <w:t xml:space="preserve"> </w:t>
      </w:r>
      <w:r>
        <w:rPr>
          <w:rFonts w:hint="eastAsia" w:ascii="Times New Roman" w:hAnsi="Times New Roman" w:cs="Times New Roman"/>
          <w:b/>
          <w:bCs w:val="0"/>
          <w:spacing w:val="4"/>
          <w:position w:val="2"/>
          <w:sz w:val="20"/>
          <w:szCs w:val="20"/>
          <w:lang w:val="en-US" w:eastAsia="zh-CN"/>
        </w:rPr>
        <w:t>13</w:t>
      </w:r>
      <w:r>
        <w:rPr>
          <w:rFonts w:hint="eastAsia" w:ascii="Times New Roman" w:hAnsi="Times New Roman" w:cs="Times New Roman"/>
          <w:b w:val="0"/>
          <w:bCs w:val="0"/>
          <w:spacing w:val="4"/>
          <w:position w:val="2"/>
          <w:sz w:val="20"/>
          <w:szCs w:val="20"/>
          <w:lang w:val="en-US" w:eastAsia="zh-CN"/>
        </w:rPr>
        <w:t>, (2025).</w:t>
      </w:r>
    </w:p>
    <w:p w14:paraId="1E0FEE5D">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24.</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Liang, H., Mao, X. &amp; Reiss, M. J. Personality traits measured by the HEXACO personality inventory and the dark triad predict university students’ attitudes and misconduct behaviors related to generative artificial intelligence. </w:t>
      </w:r>
      <w:r>
        <w:rPr>
          <w:rFonts w:hint="eastAsia" w:ascii="Times New Roman" w:hAnsi="Times New Roman" w:cs="Times New Roman"/>
          <w:b w:val="0"/>
          <w:bCs w:val="0"/>
          <w:i/>
          <w:spacing w:val="4"/>
          <w:position w:val="2"/>
          <w:sz w:val="20"/>
          <w:szCs w:val="20"/>
          <w:lang w:val="en-US" w:eastAsia="zh-CN"/>
        </w:rPr>
        <w:t>Sci Rep</w:t>
      </w:r>
      <w:r>
        <w:rPr>
          <w:rFonts w:hint="eastAsia" w:ascii="Times New Roman" w:hAnsi="Times New Roman" w:cs="Times New Roman"/>
          <w:b w:val="0"/>
          <w:bCs w:val="0"/>
          <w:spacing w:val="4"/>
          <w:position w:val="2"/>
          <w:sz w:val="20"/>
          <w:szCs w:val="20"/>
          <w:lang w:val="en-US" w:eastAsia="zh-CN"/>
        </w:rPr>
        <w:t xml:space="preserve"> </w:t>
      </w:r>
      <w:r>
        <w:rPr>
          <w:rFonts w:hint="eastAsia" w:ascii="Times New Roman" w:hAnsi="Times New Roman" w:cs="Times New Roman"/>
          <w:b/>
          <w:bCs w:val="0"/>
          <w:spacing w:val="4"/>
          <w:position w:val="2"/>
          <w:sz w:val="20"/>
          <w:szCs w:val="20"/>
          <w:lang w:val="en-US" w:eastAsia="zh-CN"/>
        </w:rPr>
        <w:t>15</w:t>
      </w:r>
      <w:r>
        <w:rPr>
          <w:rFonts w:hint="eastAsia" w:ascii="Times New Roman" w:hAnsi="Times New Roman" w:cs="Times New Roman"/>
          <w:b w:val="0"/>
          <w:bCs w:val="0"/>
          <w:spacing w:val="4"/>
          <w:position w:val="2"/>
          <w:sz w:val="20"/>
          <w:szCs w:val="20"/>
          <w:lang w:val="en-US" w:eastAsia="zh-CN"/>
        </w:rPr>
        <w:t>, 41787 (2025).</w:t>
      </w:r>
    </w:p>
    <w:p w14:paraId="3BF869DD">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25.</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Zhu, Y., Zhu, Z., Xu, W. &amp; Zhu, Y. Cross-border higher education cooperation under the dual context of artificial intelligence and geopolitics: opportunities, challenges, and pathways. </w:t>
      </w:r>
      <w:r>
        <w:rPr>
          <w:rFonts w:hint="eastAsia" w:ascii="Times New Roman" w:hAnsi="Times New Roman" w:cs="Times New Roman"/>
          <w:b w:val="0"/>
          <w:bCs w:val="0"/>
          <w:i/>
          <w:spacing w:val="4"/>
          <w:position w:val="2"/>
          <w:sz w:val="20"/>
          <w:szCs w:val="20"/>
          <w:lang w:val="en-US" w:eastAsia="zh-CN"/>
        </w:rPr>
        <w:t>Front. Educ.</w:t>
      </w:r>
      <w:r>
        <w:rPr>
          <w:rFonts w:hint="eastAsia" w:ascii="Times New Roman" w:hAnsi="Times New Roman" w:cs="Times New Roman"/>
          <w:b w:val="0"/>
          <w:bCs w:val="0"/>
          <w:spacing w:val="4"/>
          <w:position w:val="2"/>
          <w:sz w:val="20"/>
          <w:szCs w:val="20"/>
          <w:lang w:val="en-US" w:eastAsia="zh-CN"/>
        </w:rPr>
        <w:t xml:space="preserve"> </w:t>
      </w:r>
      <w:r>
        <w:rPr>
          <w:rFonts w:hint="eastAsia" w:ascii="Times New Roman" w:hAnsi="Times New Roman" w:cs="Times New Roman"/>
          <w:b/>
          <w:bCs w:val="0"/>
          <w:spacing w:val="4"/>
          <w:position w:val="2"/>
          <w:sz w:val="20"/>
          <w:szCs w:val="20"/>
          <w:lang w:val="en-US" w:eastAsia="zh-CN"/>
        </w:rPr>
        <w:t>10</w:t>
      </w:r>
      <w:r>
        <w:rPr>
          <w:rFonts w:hint="eastAsia" w:ascii="Times New Roman" w:hAnsi="Times New Roman" w:cs="Times New Roman"/>
          <w:b w:val="0"/>
          <w:bCs w:val="0"/>
          <w:spacing w:val="4"/>
          <w:position w:val="2"/>
          <w:sz w:val="20"/>
          <w:szCs w:val="20"/>
          <w:lang w:val="en-US" w:eastAsia="zh-CN"/>
        </w:rPr>
        <w:t>, (2025).</w:t>
      </w:r>
    </w:p>
    <w:p w14:paraId="7CE3007A">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26.</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Eaton, S. E. Global Trends in Education: Artificial Intelligence, Postplagiarism, and Future-focused Learning for 2025 and Beyond – 2024–2025 Werklund Distinguished Research Lecture. </w:t>
      </w:r>
      <w:r>
        <w:rPr>
          <w:rFonts w:hint="eastAsia" w:ascii="Times New Roman" w:hAnsi="Times New Roman" w:cs="Times New Roman"/>
          <w:b w:val="0"/>
          <w:bCs w:val="0"/>
          <w:i/>
          <w:spacing w:val="4"/>
          <w:position w:val="2"/>
          <w:sz w:val="20"/>
          <w:szCs w:val="20"/>
          <w:lang w:val="en-US" w:eastAsia="zh-CN"/>
        </w:rPr>
        <w:t>Int J Educ Integr</w:t>
      </w:r>
      <w:r>
        <w:rPr>
          <w:rFonts w:hint="eastAsia" w:ascii="Times New Roman" w:hAnsi="Times New Roman" w:cs="Times New Roman"/>
          <w:b w:val="0"/>
          <w:bCs w:val="0"/>
          <w:spacing w:val="4"/>
          <w:position w:val="2"/>
          <w:sz w:val="20"/>
          <w:szCs w:val="20"/>
          <w:lang w:val="en-US" w:eastAsia="zh-CN"/>
        </w:rPr>
        <w:t xml:space="preserve"> </w:t>
      </w:r>
      <w:r>
        <w:rPr>
          <w:rFonts w:hint="eastAsia" w:ascii="Times New Roman" w:hAnsi="Times New Roman" w:cs="Times New Roman"/>
          <w:b/>
          <w:bCs w:val="0"/>
          <w:spacing w:val="4"/>
          <w:position w:val="2"/>
          <w:sz w:val="20"/>
          <w:szCs w:val="20"/>
          <w:lang w:val="en-US" w:eastAsia="zh-CN"/>
        </w:rPr>
        <w:t>21</w:t>
      </w:r>
      <w:r>
        <w:rPr>
          <w:rFonts w:hint="eastAsia" w:ascii="Times New Roman" w:hAnsi="Times New Roman" w:cs="Times New Roman"/>
          <w:b w:val="0"/>
          <w:bCs w:val="0"/>
          <w:spacing w:val="4"/>
          <w:position w:val="2"/>
          <w:sz w:val="20"/>
          <w:szCs w:val="20"/>
          <w:lang w:val="en-US" w:eastAsia="zh-CN"/>
        </w:rPr>
        <w:t>, 12 (2025).</w:t>
      </w:r>
    </w:p>
    <w:p w14:paraId="1A714859">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27.</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Wong, S., Tan, H. &amp; Ooi, K. 72-hour advertising challenge with generative AI in an undergraduate graphic design module: A case study. </w:t>
      </w:r>
      <w:r>
        <w:rPr>
          <w:rFonts w:hint="eastAsia" w:ascii="Times New Roman" w:hAnsi="Times New Roman" w:cs="Times New Roman"/>
          <w:b w:val="0"/>
          <w:bCs w:val="0"/>
          <w:i/>
          <w:spacing w:val="4"/>
          <w:position w:val="2"/>
          <w:sz w:val="20"/>
          <w:szCs w:val="20"/>
          <w:lang w:val="en-US" w:eastAsia="zh-CN"/>
        </w:rPr>
        <w:t>AUSTRALASIAN JOURNAL OF EDUCATIONAL TECHNOLOGY</w:t>
      </w:r>
      <w:r>
        <w:rPr>
          <w:rFonts w:hint="eastAsia" w:ascii="Times New Roman" w:hAnsi="Times New Roman" w:cs="Times New Roman"/>
          <w:b w:val="0"/>
          <w:bCs w:val="0"/>
          <w:spacing w:val="4"/>
          <w:position w:val="2"/>
          <w:sz w:val="20"/>
          <w:szCs w:val="20"/>
          <w:lang w:val="en-US" w:eastAsia="zh-CN"/>
        </w:rPr>
        <w:t xml:space="preserve"> </w:t>
      </w:r>
      <w:r>
        <w:rPr>
          <w:rFonts w:hint="eastAsia" w:ascii="Times New Roman" w:hAnsi="Times New Roman" w:cs="Times New Roman"/>
          <w:b/>
          <w:bCs w:val="0"/>
          <w:spacing w:val="4"/>
          <w:position w:val="2"/>
          <w:sz w:val="20"/>
          <w:szCs w:val="20"/>
          <w:lang w:val="en-US" w:eastAsia="zh-CN"/>
        </w:rPr>
        <w:t>41</w:t>
      </w:r>
      <w:r>
        <w:rPr>
          <w:rFonts w:hint="eastAsia" w:ascii="Times New Roman" w:hAnsi="Times New Roman" w:cs="Times New Roman"/>
          <w:b w:val="0"/>
          <w:bCs w:val="0"/>
          <w:spacing w:val="4"/>
          <w:position w:val="2"/>
          <w:sz w:val="20"/>
          <w:szCs w:val="20"/>
          <w:lang w:val="en-US" w:eastAsia="zh-CN"/>
        </w:rPr>
        <w:t>, 102–118 (2025).</w:t>
      </w:r>
    </w:p>
    <w:p w14:paraId="403B29D9">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28.</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Chandrasekera, T., Hosseini, Z. &amp; Perera, U. Can artificial intelligence support creativity in early design processes? </w:t>
      </w:r>
      <w:r>
        <w:rPr>
          <w:rFonts w:hint="eastAsia" w:ascii="Times New Roman" w:hAnsi="Times New Roman" w:cs="Times New Roman"/>
          <w:b w:val="0"/>
          <w:bCs w:val="0"/>
          <w:i/>
          <w:spacing w:val="4"/>
          <w:position w:val="2"/>
          <w:sz w:val="20"/>
          <w:szCs w:val="20"/>
          <w:lang w:val="en-US" w:eastAsia="zh-CN"/>
        </w:rPr>
        <w:t>International Journal of Architectural Computing</w:t>
      </w:r>
      <w:r>
        <w:rPr>
          <w:rFonts w:hint="eastAsia" w:ascii="Times New Roman" w:hAnsi="Times New Roman" w:cs="Times New Roman"/>
          <w:b w:val="0"/>
          <w:bCs w:val="0"/>
          <w:spacing w:val="4"/>
          <w:position w:val="2"/>
          <w:sz w:val="20"/>
          <w:szCs w:val="20"/>
          <w:lang w:val="en-US" w:eastAsia="zh-CN"/>
        </w:rPr>
        <w:t xml:space="preserve"> </w:t>
      </w:r>
      <w:r>
        <w:rPr>
          <w:rFonts w:hint="eastAsia" w:ascii="Times New Roman" w:hAnsi="Times New Roman" w:cs="Times New Roman"/>
          <w:b/>
          <w:bCs w:val="0"/>
          <w:spacing w:val="4"/>
          <w:position w:val="2"/>
          <w:sz w:val="20"/>
          <w:szCs w:val="20"/>
          <w:lang w:val="en-US" w:eastAsia="zh-CN"/>
        </w:rPr>
        <w:t>23</w:t>
      </w:r>
      <w:r>
        <w:rPr>
          <w:rFonts w:hint="eastAsia" w:ascii="Times New Roman" w:hAnsi="Times New Roman" w:cs="Times New Roman"/>
          <w:b w:val="0"/>
          <w:bCs w:val="0"/>
          <w:spacing w:val="4"/>
          <w:position w:val="2"/>
          <w:sz w:val="20"/>
          <w:szCs w:val="20"/>
          <w:lang w:val="en-US" w:eastAsia="zh-CN"/>
        </w:rPr>
        <w:t>, 122–136 (2025).</w:t>
      </w:r>
    </w:p>
    <w:p w14:paraId="7B0AB875">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29.</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Kong, S.-C. &amp; Yang, Y. A Human-Centered Learning and Teaching Framework Using Generative Artificial Intelligence for Self-Regulated Learning Development Through Domain Knowledge Learning in K–12 Settings. </w:t>
      </w:r>
      <w:r>
        <w:rPr>
          <w:rFonts w:hint="eastAsia" w:ascii="Times New Roman" w:hAnsi="Times New Roman" w:cs="Times New Roman"/>
          <w:b w:val="0"/>
          <w:bCs w:val="0"/>
          <w:i/>
          <w:spacing w:val="4"/>
          <w:position w:val="2"/>
          <w:sz w:val="20"/>
          <w:szCs w:val="20"/>
          <w:lang w:val="en-US" w:eastAsia="zh-CN"/>
        </w:rPr>
        <w:t>IEEE Transactions on Learning Technologies</w:t>
      </w:r>
      <w:r>
        <w:rPr>
          <w:rFonts w:hint="eastAsia" w:ascii="Times New Roman" w:hAnsi="Times New Roman" w:cs="Times New Roman"/>
          <w:b w:val="0"/>
          <w:bCs w:val="0"/>
          <w:spacing w:val="4"/>
          <w:position w:val="2"/>
          <w:sz w:val="20"/>
          <w:szCs w:val="20"/>
          <w:lang w:val="en-US" w:eastAsia="zh-CN"/>
        </w:rPr>
        <w:t xml:space="preserve"> </w:t>
      </w:r>
      <w:r>
        <w:rPr>
          <w:rFonts w:hint="eastAsia" w:ascii="Times New Roman" w:hAnsi="Times New Roman" w:cs="Times New Roman"/>
          <w:b/>
          <w:bCs w:val="0"/>
          <w:spacing w:val="4"/>
          <w:position w:val="2"/>
          <w:sz w:val="20"/>
          <w:szCs w:val="20"/>
          <w:lang w:val="en-US" w:eastAsia="zh-CN"/>
        </w:rPr>
        <w:t>17</w:t>
      </w:r>
      <w:r>
        <w:rPr>
          <w:rFonts w:hint="eastAsia" w:ascii="Times New Roman" w:hAnsi="Times New Roman" w:cs="Times New Roman"/>
          <w:b w:val="0"/>
          <w:bCs w:val="0"/>
          <w:spacing w:val="4"/>
          <w:position w:val="2"/>
          <w:sz w:val="20"/>
          <w:szCs w:val="20"/>
          <w:lang w:val="en-US" w:eastAsia="zh-CN"/>
        </w:rPr>
        <w:t>, 1562–1573 (2024).</w:t>
      </w:r>
    </w:p>
    <w:p w14:paraId="7A92E1CB">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30.</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Naqvi, S. M., He, R. &amp; Kaur, H. Catalyst for Creativity or a Hollow Trend?: A Cross-Level Perspective on The Role of Generative AI in Design. in </w:t>
      </w:r>
      <w:r>
        <w:rPr>
          <w:rFonts w:hint="eastAsia" w:ascii="Times New Roman" w:hAnsi="Times New Roman" w:cs="Times New Roman"/>
          <w:b w:val="0"/>
          <w:bCs w:val="0"/>
          <w:i/>
          <w:spacing w:val="4"/>
          <w:position w:val="2"/>
          <w:sz w:val="20"/>
          <w:szCs w:val="20"/>
          <w:lang w:val="en-US" w:eastAsia="zh-CN"/>
        </w:rPr>
        <w:t>Proceedings of the 2025 CHI Conference on Human Factors in Computing Systems</w:t>
      </w:r>
      <w:r>
        <w:rPr>
          <w:rFonts w:hint="eastAsia" w:ascii="Times New Roman" w:hAnsi="Times New Roman" w:cs="Times New Roman"/>
          <w:b w:val="0"/>
          <w:bCs w:val="0"/>
          <w:spacing w:val="4"/>
          <w:position w:val="2"/>
          <w:sz w:val="20"/>
          <w:szCs w:val="20"/>
          <w:lang w:val="en-US" w:eastAsia="zh-CN"/>
        </w:rPr>
        <w:t xml:space="preserve"> 1–16 (Association for Computing Machinery, New York, NY, USA, 2025). doi:10.1145/3706598.3713233.</w:t>
      </w:r>
    </w:p>
    <w:p w14:paraId="6B4C99C7">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31.</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Süner-Pla-Cerdà, S., Şen, G., Kumbasar, E., Şahin, B. &amp; Ünlü, C. E. Designer experiences and perspectives on the role of generative AI in industrial design. </w:t>
      </w:r>
      <w:r>
        <w:rPr>
          <w:rFonts w:hint="eastAsia" w:ascii="Times New Roman" w:hAnsi="Times New Roman" w:cs="Times New Roman"/>
          <w:b w:val="0"/>
          <w:bCs w:val="0"/>
          <w:i/>
          <w:spacing w:val="4"/>
          <w:position w:val="2"/>
          <w:sz w:val="20"/>
          <w:szCs w:val="20"/>
          <w:lang w:val="en-US" w:eastAsia="zh-CN"/>
        </w:rPr>
        <w:t>AI &amp; Soc</w:t>
      </w:r>
      <w:r>
        <w:rPr>
          <w:rFonts w:hint="eastAsia" w:ascii="Times New Roman" w:hAnsi="Times New Roman" w:cs="Times New Roman"/>
          <w:b w:val="0"/>
          <w:bCs w:val="0"/>
          <w:spacing w:val="4"/>
          <w:position w:val="2"/>
          <w:sz w:val="20"/>
          <w:szCs w:val="20"/>
          <w:lang w:val="en-US" w:eastAsia="zh-CN"/>
        </w:rPr>
        <w:t xml:space="preserve"> https://doi.org/10.1007/s00146-025-02504-6 (2025) doi:10.1007/s00146-025-02504-6.</w:t>
      </w:r>
    </w:p>
    <w:p w14:paraId="08298B1E">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32.</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Li, J. </w:t>
      </w:r>
      <w:r>
        <w:rPr>
          <w:rFonts w:hint="eastAsia" w:ascii="Times New Roman" w:hAnsi="Times New Roman" w:cs="Times New Roman"/>
          <w:b w:val="0"/>
          <w:bCs w:val="0"/>
          <w:i/>
          <w:spacing w:val="4"/>
          <w:position w:val="2"/>
          <w:sz w:val="20"/>
          <w:szCs w:val="20"/>
          <w:lang w:val="en-US" w:eastAsia="zh-CN"/>
        </w:rPr>
        <w:t>et al.</w:t>
      </w:r>
      <w:r>
        <w:rPr>
          <w:rFonts w:hint="eastAsia" w:ascii="Times New Roman" w:hAnsi="Times New Roman" w:cs="Times New Roman"/>
          <w:b w:val="0"/>
          <w:bCs w:val="0"/>
          <w:spacing w:val="4"/>
          <w:position w:val="2"/>
          <w:sz w:val="20"/>
          <w:szCs w:val="20"/>
          <w:lang w:val="en-US" w:eastAsia="zh-CN"/>
        </w:rPr>
        <w:t xml:space="preserve"> User Experience Design Professionals’ Perceptions of Generative Artificial Intelligence. in </w:t>
      </w:r>
      <w:r>
        <w:rPr>
          <w:rFonts w:hint="eastAsia" w:ascii="Times New Roman" w:hAnsi="Times New Roman" w:cs="Times New Roman"/>
          <w:b w:val="0"/>
          <w:bCs w:val="0"/>
          <w:i/>
          <w:spacing w:val="4"/>
          <w:position w:val="2"/>
          <w:sz w:val="20"/>
          <w:szCs w:val="20"/>
          <w:lang w:val="en-US" w:eastAsia="zh-CN"/>
        </w:rPr>
        <w:t>Proceedings of the 2024 CHI Conference on Human Factors in Computing Systems</w:t>
      </w:r>
      <w:r>
        <w:rPr>
          <w:rFonts w:hint="eastAsia" w:ascii="Times New Roman" w:hAnsi="Times New Roman" w:cs="Times New Roman"/>
          <w:b w:val="0"/>
          <w:bCs w:val="0"/>
          <w:spacing w:val="4"/>
          <w:position w:val="2"/>
          <w:sz w:val="20"/>
          <w:szCs w:val="20"/>
          <w:lang w:val="en-US" w:eastAsia="zh-CN"/>
        </w:rPr>
        <w:t xml:space="preserve"> 1–18 (Association for Computing Machinery, New York, NY, USA, 2024). doi:10.1145/3613904.3642114.</w:t>
      </w:r>
    </w:p>
    <w:p w14:paraId="404B399E">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33.</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Liang, Z. </w:t>
      </w:r>
      <w:r>
        <w:rPr>
          <w:rFonts w:hint="eastAsia" w:ascii="Times New Roman" w:hAnsi="Times New Roman" w:cs="Times New Roman"/>
          <w:b w:val="0"/>
          <w:bCs w:val="0"/>
          <w:i/>
          <w:spacing w:val="4"/>
          <w:position w:val="2"/>
          <w:sz w:val="20"/>
          <w:szCs w:val="20"/>
          <w:lang w:val="en-US" w:eastAsia="zh-CN"/>
        </w:rPr>
        <w:t>et al.</w:t>
      </w:r>
      <w:r>
        <w:rPr>
          <w:rFonts w:hint="eastAsia" w:ascii="Times New Roman" w:hAnsi="Times New Roman" w:cs="Times New Roman"/>
          <w:b w:val="0"/>
          <w:bCs w:val="0"/>
          <w:spacing w:val="4"/>
          <w:position w:val="2"/>
          <w:sz w:val="20"/>
          <w:szCs w:val="20"/>
          <w:lang w:val="en-US" w:eastAsia="zh-CN"/>
        </w:rPr>
        <w:t xml:space="preserve"> StoryDiffusion: How to Support UX Storyboarding With Generative-AI. in </w:t>
      </w:r>
      <w:r>
        <w:rPr>
          <w:rFonts w:hint="eastAsia" w:ascii="Times New Roman" w:hAnsi="Times New Roman" w:cs="Times New Roman"/>
          <w:b w:val="0"/>
          <w:bCs w:val="0"/>
          <w:i/>
          <w:spacing w:val="4"/>
          <w:position w:val="2"/>
          <w:sz w:val="20"/>
          <w:szCs w:val="20"/>
          <w:lang w:val="en-US" w:eastAsia="zh-CN"/>
        </w:rPr>
        <w:t>Proceedings of the 27th International Conference on Multimodal Interaction</w:t>
      </w:r>
      <w:r>
        <w:rPr>
          <w:rFonts w:hint="eastAsia" w:ascii="Times New Roman" w:hAnsi="Times New Roman" w:cs="Times New Roman"/>
          <w:b w:val="0"/>
          <w:bCs w:val="0"/>
          <w:spacing w:val="4"/>
          <w:position w:val="2"/>
          <w:sz w:val="20"/>
          <w:szCs w:val="20"/>
          <w:lang w:val="en-US" w:eastAsia="zh-CN"/>
        </w:rPr>
        <w:t xml:space="preserve"> 135–144 (Association for Computing Machinery, New York, NY, USA, 2025). doi:10.1145/3716553.3750793.</w:t>
      </w:r>
    </w:p>
    <w:p w14:paraId="1F5B2552">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34.</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He, Y. Thriving in the Age of AI: Navigating AI Identity Threat Through AI Job Crafting. </w:t>
      </w:r>
      <w:r>
        <w:rPr>
          <w:rFonts w:hint="eastAsia" w:ascii="Times New Roman" w:hAnsi="Times New Roman" w:cs="Times New Roman"/>
          <w:b w:val="0"/>
          <w:bCs w:val="0"/>
          <w:i/>
          <w:spacing w:val="4"/>
          <w:position w:val="2"/>
          <w:sz w:val="20"/>
          <w:szCs w:val="20"/>
          <w:lang w:val="en-US" w:eastAsia="zh-CN"/>
        </w:rPr>
        <w:t>Theses and Dissertations in Business Administration</w:t>
      </w:r>
      <w:r>
        <w:rPr>
          <w:rFonts w:hint="eastAsia" w:ascii="Times New Roman" w:hAnsi="Times New Roman" w:cs="Times New Roman"/>
          <w:b w:val="0"/>
          <w:bCs w:val="0"/>
          <w:spacing w:val="4"/>
          <w:position w:val="2"/>
          <w:sz w:val="20"/>
          <w:szCs w:val="20"/>
          <w:lang w:val="en-US" w:eastAsia="zh-CN"/>
        </w:rPr>
        <w:t xml:space="preserve"> https://doi.org/10.25777/838n-py61 (2025) doi:10.25777/838n-py61.</w:t>
      </w:r>
    </w:p>
    <w:p w14:paraId="7BC38529">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35.</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Creely, E. &amp; Janssen, K. Onto-epistemological Understandings of Generative Artificial Intelligence in Education. </w:t>
      </w:r>
      <w:r>
        <w:rPr>
          <w:rFonts w:hint="eastAsia" w:ascii="Times New Roman" w:hAnsi="Times New Roman" w:cs="Times New Roman"/>
          <w:b w:val="0"/>
          <w:bCs w:val="0"/>
          <w:i/>
          <w:spacing w:val="4"/>
          <w:position w:val="2"/>
          <w:sz w:val="20"/>
          <w:szCs w:val="20"/>
          <w:lang w:val="en-US" w:eastAsia="zh-CN"/>
        </w:rPr>
        <w:t>International Journal of Changes in Education</w:t>
      </w:r>
      <w:r>
        <w:rPr>
          <w:rFonts w:hint="eastAsia" w:ascii="Times New Roman" w:hAnsi="Times New Roman" w:cs="Times New Roman"/>
          <w:b w:val="0"/>
          <w:bCs w:val="0"/>
          <w:spacing w:val="4"/>
          <w:position w:val="2"/>
          <w:sz w:val="20"/>
          <w:szCs w:val="20"/>
          <w:lang w:val="en-US" w:eastAsia="zh-CN"/>
        </w:rPr>
        <w:t xml:space="preserve"> </w:t>
      </w:r>
      <w:r>
        <w:rPr>
          <w:rFonts w:hint="eastAsia" w:ascii="Times New Roman" w:hAnsi="Times New Roman" w:cs="Times New Roman"/>
          <w:b/>
          <w:bCs w:val="0"/>
          <w:spacing w:val="4"/>
          <w:position w:val="2"/>
          <w:sz w:val="20"/>
          <w:szCs w:val="20"/>
          <w:lang w:val="en-US" w:eastAsia="zh-CN"/>
        </w:rPr>
        <w:t>2</w:t>
      </w:r>
      <w:r>
        <w:rPr>
          <w:rFonts w:hint="eastAsia" w:ascii="Times New Roman" w:hAnsi="Times New Roman" w:cs="Times New Roman"/>
          <w:b w:val="0"/>
          <w:bCs w:val="0"/>
          <w:spacing w:val="4"/>
          <w:position w:val="2"/>
          <w:sz w:val="20"/>
          <w:szCs w:val="20"/>
          <w:lang w:val="en-US" w:eastAsia="zh-CN"/>
        </w:rPr>
        <w:t>, 55–65 (2025).</w:t>
      </w:r>
    </w:p>
    <w:p w14:paraId="36965597">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36.</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Polyportis, A. A longitudinal study on artificial intelligence adoption: understanding the drivers of ChatGPT usage behavior change in higher education. </w:t>
      </w:r>
      <w:r>
        <w:rPr>
          <w:rFonts w:hint="eastAsia" w:ascii="Times New Roman" w:hAnsi="Times New Roman" w:cs="Times New Roman"/>
          <w:b w:val="0"/>
          <w:bCs w:val="0"/>
          <w:i/>
          <w:spacing w:val="4"/>
          <w:position w:val="2"/>
          <w:sz w:val="20"/>
          <w:szCs w:val="20"/>
          <w:lang w:val="en-US" w:eastAsia="zh-CN"/>
        </w:rPr>
        <w:t>Front. Artif. Intell.</w:t>
      </w:r>
      <w:r>
        <w:rPr>
          <w:rFonts w:hint="eastAsia" w:ascii="Times New Roman" w:hAnsi="Times New Roman" w:cs="Times New Roman"/>
          <w:b w:val="0"/>
          <w:bCs w:val="0"/>
          <w:spacing w:val="4"/>
          <w:position w:val="2"/>
          <w:sz w:val="20"/>
          <w:szCs w:val="20"/>
          <w:lang w:val="en-US" w:eastAsia="zh-CN"/>
        </w:rPr>
        <w:t xml:space="preserve"> </w:t>
      </w:r>
      <w:r>
        <w:rPr>
          <w:rFonts w:hint="eastAsia" w:ascii="Times New Roman" w:hAnsi="Times New Roman" w:cs="Times New Roman"/>
          <w:b/>
          <w:bCs w:val="0"/>
          <w:spacing w:val="4"/>
          <w:position w:val="2"/>
          <w:sz w:val="20"/>
          <w:szCs w:val="20"/>
          <w:lang w:val="en-US" w:eastAsia="zh-CN"/>
        </w:rPr>
        <w:t>6</w:t>
      </w:r>
      <w:r>
        <w:rPr>
          <w:rFonts w:hint="eastAsia" w:ascii="Times New Roman" w:hAnsi="Times New Roman" w:cs="Times New Roman"/>
          <w:b w:val="0"/>
          <w:bCs w:val="0"/>
          <w:spacing w:val="4"/>
          <w:position w:val="2"/>
          <w:sz w:val="20"/>
          <w:szCs w:val="20"/>
          <w:lang w:val="en-US" w:eastAsia="zh-CN"/>
        </w:rPr>
        <w:t>, (2024).</w:t>
      </w:r>
    </w:p>
    <w:p w14:paraId="0932119E">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37.</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Lin, C.-C., Huang, A. Y. Q. &amp; Lu, O. H. T. Artificial intelligence in intelligent tutoring systems toward sustainable education: a systematic review. </w:t>
      </w:r>
      <w:r>
        <w:rPr>
          <w:rFonts w:hint="eastAsia" w:ascii="Times New Roman" w:hAnsi="Times New Roman" w:cs="Times New Roman"/>
          <w:b w:val="0"/>
          <w:bCs w:val="0"/>
          <w:i/>
          <w:spacing w:val="4"/>
          <w:position w:val="2"/>
          <w:sz w:val="20"/>
          <w:szCs w:val="20"/>
          <w:lang w:val="en-US" w:eastAsia="zh-CN"/>
        </w:rPr>
        <w:t>Smart Learn. Environ.</w:t>
      </w:r>
      <w:r>
        <w:rPr>
          <w:rFonts w:hint="eastAsia" w:ascii="Times New Roman" w:hAnsi="Times New Roman" w:cs="Times New Roman"/>
          <w:b w:val="0"/>
          <w:bCs w:val="0"/>
          <w:spacing w:val="4"/>
          <w:position w:val="2"/>
          <w:sz w:val="20"/>
          <w:szCs w:val="20"/>
          <w:lang w:val="en-US" w:eastAsia="zh-CN"/>
        </w:rPr>
        <w:t xml:space="preserve"> </w:t>
      </w:r>
      <w:r>
        <w:rPr>
          <w:rFonts w:hint="eastAsia" w:ascii="Times New Roman" w:hAnsi="Times New Roman" w:cs="Times New Roman"/>
          <w:b/>
          <w:bCs w:val="0"/>
          <w:spacing w:val="4"/>
          <w:position w:val="2"/>
          <w:sz w:val="20"/>
          <w:szCs w:val="20"/>
          <w:lang w:val="en-US" w:eastAsia="zh-CN"/>
        </w:rPr>
        <w:t>10</w:t>
      </w:r>
      <w:r>
        <w:rPr>
          <w:rFonts w:hint="eastAsia" w:ascii="Times New Roman" w:hAnsi="Times New Roman" w:cs="Times New Roman"/>
          <w:b w:val="0"/>
          <w:bCs w:val="0"/>
          <w:spacing w:val="4"/>
          <w:position w:val="2"/>
          <w:sz w:val="20"/>
          <w:szCs w:val="20"/>
          <w:lang w:val="en-US" w:eastAsia="zh-CN"/>
        </w:rPr>
        <w:t>, 41 (2023).</w:t>
      </w:r>
    </w:p>
    <w:p w14:paraId="35B1118E">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38.</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Li, M. Integrating Artificial Intelligence in Primary Mathematics Education: Investigating Internal and External Influences on Teacher Adoption. </w:t>
      </w:r>
      <w:r>
        <w:rPr>
          <w:rFonts w:hint="eastAsia" w:ascii="Times New Roman" w:hAnsi="Times New Roman" w:cs="Times New Roman"/>
          <w:b w:val="0"/>
          <w:bCs w:val="0"/>
          <w:i/>
          <w:spacing w:val="4"/>
          <w:position w:val="2"/>
          <w:sz w:val="20"/>
          <w:szCs w:val="20"/>
          <w:lang w:val="en-US" w:eastAsia="zh-CN"/>
        </w:rPr>
        <w:t>Int J of Sci and Math Educ</w:t>
      </w:r>
      <w:r>
        <w:rPr>
          <w:rFonts w:hint="eastAsia" w:ascii="Times New Roman" w:hAnsi="Times New Roman" w:cs="Times New Roman"/>
          <w:b w:val="0"/>
          <w:bCs w:val="0"/>
          <w:spacing w:val="4"/>
          <w:position w:val="2"/>
          <w:sz w:val="20"/>
          <w:szCs w:val="20"/>
          <w:lang w:val="en-US" w:eastAsia="zh-CN"/>
        </w:rPr>
        <w:t xml:space="preserve"> </w:t>
      </w:r>
      <w:r>
        <w:rPr>
          <w:rFonts w:hint="eastAsia" w:ascii="Times New Roman" w:hAnsi="Times New Roman" w:cs="Times New Roman"/>
          <w:b/>
          <w:bCs w:val="0"/>
          <w:spacing w:val="4"/>
          <w:position w:val="2"/>
          <w:sz w:val="20"/>
          <w:szCs w:val="20"/>
          <w:lang w:val="en-US" w:eastAsia="zh-CN"/>
        </w:rPr>
        <w:t>23</w:t>
      </w:r>
      <w:r>
        <w:rPr>
          <w:rFonts w:hint="eastAsia" w:ascii="Times New Roman" w:hAnsi="Times New Roman" w:cs="Times New Roman"/>
          <w:b w:val="0"/>
          <w:bCs w:val="0"/>
          <w:spacing w:val="4"/>
          <w:position w:val="2"/>
          <w:sz w:val="20"/>
          <w:szCs w:val="20"/>
          <w:lang w:val="en-US" w:eastAsia="zh-CN"/>
        </w:rPr>
        <w:t>, 1283–1308 (2025).</w:t>
      </w:r>
    </w:p>
    <w:p w14:paraId="1853305A">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39.</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Edwards, J. </w:t>
      </w:r>
      <w:r>
        <w:rPr>
          <w:rFonts w:hint="eastAsia" w:ascii="Times New Roman" w:hAnsi="Times New Roman" w:cs="Times New Roman"/>
          <w:b w:val="0"/>
          <w:bCs w:val="0"/>
          <w:i/>
          <w:spacing w:val="4"/>
          <w:position w:val="2"/>
          <w:sz w:val="20"/>
          <w:szCs w:val="20"/>
          <w:lang w:val="en-US" w:eastAsia="zh-CN"/>
        </w:rPr>
        <w:t>et al.</w:t>
      </w:r>
      <w:r>
        <w:rPr>
          <w:rFonts w:hint="eastAsia" w:ascii="Times New Roman" w:hAnsi="Times New Roman" w:cs="Times New Roman"/>
          <w:b w:val="0"/>
          <w:bCs w:val="0"/>
          <w:spacing w:val="4"/>
          <w:position w:val="2"/>
          <w:sz w:val="20"/>
          <w:szCs w:val="20"/>
          <w:lang w:val="en-US" w:eastAsia="zh-CN"/>
        </w:rPr>
        <w:t xml:space="preserve"> Human-AI collaboration: Designing artificial agents to facilitate socially shared regulation among learners. </w:t>
      </w:r>
      <w:r>
        <w:rPr>
          <w:rFonts w:hint="eastAsia" w:ascii="Times New Roman" w:hAnsi="Times New Roman" w:cs="Times New Roman"/>
          <w:b w:val="0"/>
          <w:bCs w:val="0"/>
          <w:i/>
          <w:spacing w:val="4"/>
          <w:position w:val="2"/>
          <w:sz w:val="20"/>
          <w:szCs w:val="20"/>
          <w:lang w:val="en-US" w:eastAsia="zh-CN"/>
        </w:rPr>
        <w:t>British Journal of Educational Technology</w:t>
      </w:r>
      <w:r>
        <w:rPr>
          <w:rFonts w:hint="eastAsia" w:ascii="Times New Roman" w:hAnsi="Times New Roman" w:cs="Times New Roman"/>
          <w:b w:val="0"/>
          <w:bCs w:val="0"/>
          <w:spacing w:val="4"/>
          <w:position w:val="2"/>
          <w:sz w:val="20"/>
          <w:szCs w:val="20"/>
          <w:lang w:val="en-US" w:eastAsia="zh-CN"/>
        </w:rPr>
        <w:t xml:space="preserve"> </w:t>
      </w:r>
      <w:r>
        <w:rPr>
          <w:rFonts w:hint="eastAsia" w:ascii="Times New Roman" w:hAnsi="Times New Roman" w:cs="Times New Roman"/>
          <w:b/>
          <w:bCs w:val="0"/>
          <w:spacing w:val="4"/>
          <w:position w:val="2"/>
          <w:sz w:val="20"/>
          <w:szCs w:val="20"/>
          <w:lang w:val="en-US" w:eastAsia="zh-CN"/>
        </w:rPr>
        <w:t>56</w:t>
      </w:r>
      <w:r>
        <w:rPr>
          <w:rFonts w:hint="eastAsia" w:ascii="Times New Roman" w:hAnsi="Times New Roman" w:cs="Times New Roman"/>
          <w:b w:val="0"/>
          <w:bCs w:val="0"/>
          <w:spacing w:val="4"/>
          <w:position w:val="2"/>
          <w:sz w:val="20"/>
          <w:szCs w:val="20"/>
          <w:lang w:val="en-US" w:eastAsia="zh-CN"/>
        </w:rPr>
        <w:t>, 712–733 (2025).</w:t>
      </w:r>
    </w:p>
    <w:p w14:paraId="7ACBBBD1">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40.</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Kim, J., Lee, S.-S., Detrick, R., Wang, J. &amp; Li, N. Students-Generative AI interaction patterns and its impact on academic writing. </w:t>
      </w:r>
      <w:r>
        <w:rPr>
          <w:rFonts w:hint="eastAsia" w:ascii="Times New Roman" w:hAnsi="Times New Roman" w:cs="Times New Roman"/>
          <w:b w:val="0"/>
          <w:bCs w:val="0"/>
          <w:i/>
          <w:spacing w:val="4"/>
          <w:position w:val="2"/>
          <w:sz w:val="20"/>
          <w:szCs w:val="20"/>
          <w:lang w:val="en-US" w:eastAsia="zh-CN"/>
        </w:rPr>
        <w:t>J Comput High Educ</w:t>
      </w:r>
      <w:r>
        <w:rPr>
          <w:rFonts w:hint="eastAsia" w:ascii="Times New Roman" w:hAnsi="Times New Roman" w:cs="Times New Roman"/>
          <w:b w:val="0"/>
          <w:bCs w:val="0"/>
          <w:spacing w:val="4"/>
          <w:position w:val="2"/>
          <w:sz w:val="20"/>
          <w:szCs w:val="20"/>
          <w:lang w:val="en-US" w:eastAsia="zh-CN"/>
        </w:rPr>
        <w:t xml:space="preserve"> https://doi.org/10.1007/s12528-025-09444-6 (2025) doi:10.1007/s12528-025-09444-6.</w:t>
      </w:r>
    </w:p>
    <w:p w14:paraId="7B52D438">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41.</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Yao, D. &amp; Lin, J. Cognitive enhancement through competency-based programming education: a 12-year longitudinal study. </w:t>
      </w:r>
      <w:r>
        <w:rPr>
          <w:rFonts w:hint="eastAsia" w:ascii="Times New Roman" w:hAnsi="Times New Roman" w:cs="Times New Roman"/>
          <w:b w:val="0"/>
          <w:bCs w:val="0"/>
          <w:i/>
          <w:spacing w:val="4"/>
          <w:position w:val="2"/>
          <w:sz w:val="20"/>
          <w:szCs w:val="20"/>
          <w:lang w:val="en-US" w:eastAsia="zh-CN"/>
        </w:rPr>
        <w:t>Educ Inf Technol</w:t>
      </w:r>
      <w:r>
        <w:rPr>
          <w:rFonts w:hint="eastAsia" w:ascii="Times New Roman" w:hAnsi="Times New Roman" w:cs="Times New Roman"/>
          <w:b w:val="0"/>
          <w:bCs w:val="0"/>
          <w:spacing w:val="4"/>
          <w:position w:val="2"/>
          <w:sz w:val="20"/>
          <w:szCs w:val="20"/>
          <w:lang w:val="en-US" w:eastAsia="zh-CN"/>
        </w:rPr>
        <w:t xml:space="preserve"> </w:t>
      </w:r>
      <w:r>
        <w:rPr>
          <w:rFonts w:hint="eastAsia" w:ascii="Times New Roman" w:hAnsi="Times New Roman" w:cs="Times New Roman"/>
          <w:b/>
          <w:bCs w:val="0"/>
          <w:spacing w:val="4"/>
          <w:position w:val="2"/>
          <w:sz w:val="20"/>
          <w:szCs w:val="20"/>
          <w:lang w:val="en-US" w:eastAsia="zh-CN"/>
        </w:rPr>
        <w:t>30</w:t>
      </w:r>
      <w:r>
        <w:rPr>
          <w:rFonts w:hint="eastAsia" w:ascii="Times New Roman" w:hAnsi="Times New Roman" w:cs="Times New Roman"/>
          <w:b w:val="0"/>
          <w:bCs w:val="0"/>
          <w:spacing w:val="4"/>
          <w:position w:val="2"/>
          <w:sz w:val="20"/>
          <w:szCs w:val="20"/>
          <w:lang w:val="en-US" w:eastAsia="zh-CN"/>
        </w:rPr>
        <w:t>, 20347–20383 (2025).</w:t>
      </w:r>
    </w:p>
    <w:p w14:paraId="4E143636">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42.</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Willems, T. </w:t>
      </w:r>
      <w:r>
        <w:rPr>
          <w:rFonts w:hint="eastAsia" w:ascii="Times New Roman" w:hAnsi="Times New Roman" w:cs="Times New Roman"/>
          <w:b w:val="0"/>
          <w:bCs w:val="0"/>
          <w:i/>
          <w:spacing w:val="4"/>
          <w:position w:val="2"/>
          <w:sz w:val="20"/>
          <w:szCs w:val="20"/>
          <w:lang w:val="en-US" w:eastAsia="zh-CN"/>
        </w:rPr>
        <w:t>et al.</w:t>
      </w:r>
      <w:r>
        <w:rPr>
          <w:rFonts w:hint="eastAsia" w:ascii="Times New Roman" w:hAnsi="Times New Roman" w:cs="Times New Roman"/>
          <w:b w:val="0"/>
          <w:bCs w:val="0"/>
          <w:spacing w:val="4"/>
          <w:position w:val="2"/>
          <w:sz w:val="20"/>
          <w:szCs w:val="20"/>
          <w:lang w:val="en-US" w:eastAsia="zh-CN"/>
        </w:rPr>
        <w:t xml:space="preserve"> To Use or to Refuse? Re-Centering Student Agency with Generative AI in Engineering Design Education. Preprint at https://doi.org/10.48550/arXiv.2510.19342 (2025).</w:t>
      </w:r>
    </w:p>
    <w:p w14:paraId="1714C3B7">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43.</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Hong, L. Development and validation of a competency-based ladder pathway for AI literacy enhancement among higher vocational students. </w:t>
      </w:r>
      <w:r>
        <w:rPr>
          <w:rFonts w:hint="eastAsia" w:ascii="Times New Roman" w:hAnsi="Times New Roman" w:cs="Times New Roman"/>
          <w:b w:val="0"/>
          <w:bCs w:val="0"/>
          <w:i/>
          <w:spacing w:val="4"/>
          <w:position w:val="2"/>
          <w:sz w:val="20"/>
          <w:szCs w:val="20"/>
          <w:lang w:val="en-US" w:eastAsia="zh-CN"/>
        </w:rPr>
        <w:t>Sci Rep</w:t>
      </w:r>
      <w:r>
        <w:rPr>
          <w:rFonts w:hint="eastAsia" w:ascii="Times New Roman" w:hAnsi="Times New Roman" w:cs="Times New Roman"/>
          <w:b w:val="0"/>
          <w:bCs w:val="0"/>
          <w:spacing w:val="4"/>
          <w:position w:val="2"/>
          <w:sz w:val="20"/>
          <w:szCs w:val="20"/>
          <w:lang w:val="en-US" w:eastAsia="zh-CN"/>
        </w:rPr>
        <w:t xml:space="preserve"> </w:t>
      </w:r>
      <w:r>
        <w:rPr>
          <w:rFonts w:hint="eastAsia" w:ascii="Times New Roman" w:hAnsi="Times New Roman" w:cs="Times New Roman"/>
          <w:b/>
          <w:bCs w:val="0"/>
          <w:spacing w:val="4"/>
          <w:position w:val="2"/>
          <w:sz w:val="20"/>
          <w:szCs w:val="20"/>
          <w:lang w:val="en-US" w:eastAsia="zh-CN"/>
        </w:rPr>
        <w:t>15</w:t>
      </w:r>
      <w:r>
        <w:rPr>
          <w:rFonts w:hint="eastAsia" w:ascii="Times New Roman" w:hAnsi="Times New Roman" w:cs="Times New Roman"/>
          <w:b w:val="0"/>
          <w:bCs w:val="0"/>
          <w:spacing w:val="4"/>
          <w:position w:val="2"/>
          <w:sz w:val="20"/>
          <w:szCs w:val="20"/>
          <w:lang w:val="en-US" w:eastAsia="zh-CN"/>
        </w:rPr>
        <w:t>, 29898 (2025).</w:t>
      </w:r>
    </w:p>
    <w:p w14:paraId="6B3DCCEC">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44.</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Leung, E. K. H., Balan, N., Lee, C. K. H. &amp; Xie, S. The Generative Artificial Intelligence large language product design multi-model framework for manufacturing operations. </w:t>
      </w:r>
      <w:r>
        <w:rPr>
          <w:rFonts w:hint="eastAsia" w:ascii="Times New Roman" w:hAnsi="Times New Roman" w:cs="Times New Roman"/>
          <w:b w:val="0"/>
          <w:bCs w:val="0"/>
          <w:i/>
          <w:spacing w:val="4"/>
          <w:position w:val="2"/>
          <w:sz w:val="20"/>
          <w:szCs w:val="20"/>
          <w:lang w:val="en-US" w:eastAsia="zh-CN"/>
        </w:rPr>
        <w:t>Journal of the Operational Research Society</w:t>
      </w:r>
      <w:r>
        <w:rPr>
          <w:rFonts w:hint="eastAsia" w:ascii="Times New Roman" w:hAnsi="Times New Roman" w:cs="Times New Roman"/>
          <w:b w:val="0"/>
          <w:bCs w:val="0"/>
          <w:spacing w:val="4"/>
          <w:position w:val="2"/>
          <w:sz w:val="20"/>
          <w:szCs w:val="20"/>
          <w:lang w:val="en-US" w:eastAsia="zh-CN"/>
        </w:rPr>
        <w:t xml:space="preserve"> 1–27 (2025) doi:10.1080/01605682.2025.2570407.</w:t>
      </w:r>
    </w:p>
    <w:p w14:paraId="0711B0BA">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45.</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Zhou, S., Joneuraratana, E., Sirvesmas, V. &amp; Jamuni, P. The Impact of Artificial Intelligence on the Evolution of Graphic Design: Current Practices and Challenges. </w:t>
      </w:r>
      <w:r>
        <w:rPr>
          <w:rFonts w:hint="eastAsia" w:ascii="Times New Roman" w:hAnsi="Times New Roman" w:cs="Times New Roman"/>
          <w:b w:val="0"/>
          <w:bCs w:val="0"/>
          <w:i/>
          <w:spacing w:val="4"/>
          <w:position w:val="2"/>
          <w:sz w:val="20"/>
          <w:szCs w:val="20"/>
          <w:lang w:val="en-US" w:eastAsia="zh-CN"/>
        </w:rPr>
        <w:t>PJS</w:t>
      </w:r>
      <w:r>
        <w:rPr>
          <w:rFonts w:hint="eastAsia" w:ascii="Times New Roman" w:hAnsi="Times New Roman" w:cs="Times New Roman"/>
          <w:b w:val="0"/>
          <w:bCs w:val="0"/>
          <w:spacing w:val="4"/>
          <w:position w:val="2"/>
          <w:sz w:val="20"/>
          <w:szCs w:val="20"/>
          <w:lang w:val="en-US" w:eastAsia="zh-CN"/>
        </w:rPr>
        <w:t xml:space="preserve"> https://doi.org/10.70389/PJS.100151 (2025) doi:10.70389/PJS.100151.</w:t>
      </w:r>
    </w:p>
    <w:p w14:paraId="6A4CE9E8">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46.</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Linderoth, C., Hultén, M. &amp; Stenliden, L. Competing visions of artificial intelligence in education—A heuristic analysis on sociotechnical imaginaries and problematizations in policy guidelines. </w:t>
      </w:r>
      <w:r>
        <w:rPr>
          <w:rFonts w:hint="eastAsia" w:ascii="Times New Roman" w:hAnsi="Times New Roman" w:cs="Times New Roman"/>
          <w:b w:val="0"/>
          <w:bCs w:val="0"/>
          <w:i/>
          <w:spacing w:val="4"/>
          <w:position w:val="2"/>
          <w:sz w:val="20"/>
          <w:szCs w:val="20"/>
          <w:lang w:val="en-US" w:eastAsia="zh-CN"/>
        </w:rPr>
        <w:t>Policy Futures in Education</w:t>
      </w:r>
      <w:r>
        <w:rPr>
          <w:rFonts w:hint="eastAsia" w:ascii="Times New Roman" w:hAnsi="Times New Roman" w:cs="Times New Roman"/>
          <w:b w:val="0"/>
          <w:bCs w:val="0"/>
          <w:spacing w:val="4"/>
          <w:position w:val="2"/>
          <w:sz w:val="20"/>
          <w:szCs w:val="20"/>
          <w:lang w:val="en-US" w:eastAsia="zh-CN"/>
        </w:rPr>
        <w:t xml:space="preserve"> </w:t>
      </w:r>
      <w:r>
        <w:rPr>
          <w:rFonts w:hint="eastAsia" w:ascii="Times New Roman" w:hAnsi="Times New Roman" w:cs="Times New Roman"/>
          <w:b/>
          <w:bCs w:val="0"/>
          <w:spacing w:val="4"/>
          <w:position w:val="2"/>
          <w:sz w:val="20"/>
          <w:szCs w:val="20"/>
          <w:lang w:val="en-US" w:eastAsia="zh-CN"/>
        </w:rPr>
        <w:t>22</w:t>
      </w:r>
      <w:r>
        <w:rPr>
          <w:rFonts w:hint="eastAsia" w:ascii="Times New Roman" w:hAnsi="Times New Roman" w:cs="Times New Roman"/>
          <w:b w:val="0"/>
          <w:bCs w:val="0"/>
          <w:spacing w:val="4"/>
          <w:position w:val="2"/>
          <w:sz w:val="20"/>
          <w:szCs w:val="20"/>
          <w:lang w:val="en-US" w:eastAsia="zh-CN"/>
        </w:rPr>
        <w:t>, 1662–1678 (2024).</w:t>
      </w:r>
    </w:p>
    <w:p w14:paraId="4DCD25EF">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47.</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i/>
          <w:spacing w:val="4"/>
          <w:position w:val="2"/>
          <w:sz w:val="20"/>
          <w:szCs w:val="20"/>
          <w:lang w:val="en-US" w:eastAsia="zh-CN"/>
        </w:rPr>
        <w:t>Proceedings TEEM 2022: Tenth International Conference on Technological Ecosystems for Enhancing Multiculturality: Salamanca, Spain, October 19–21, 2022</w:t>
      </w:r>
      <w:r>
        <w:rPr>
          <w:rFonts w:hint="eastAsia" w:ascii="Times New Roman" w:hAnsi="Times New Roman" w:cs="Times New Roman"/>
          <w:b w:val="0"/>
          <w:bCs w:val="0"/>
          <w:spacing w:val="4"/>
          <w:position w:val="2"/>
          <w:sz w:val="20"/>
          <w:szCs w:val="20"/>
          <w:lang w:val="en-US" w:eastAsia="zh-CN"/>
        </w:rPr>
        <w:t>. (Springer Nature Singapore, Singapore, 2023). doi:10.1007/978-981-99-0942-1.</w:t>
      </w:r>
    </w:p>
    <w:p w14:paraId="327ADC0D">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48.</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Bahari, A. &amp; Liu, Y. AI integration in EFL teacher development: a mixed-methods evaluation of digital competency, professional trajectories, and pedagogical innovation within adaptive learning ecosystems. </w:t>
      </w:r>
      <w:r>
        <w:rPr>
          <w:rFonts w:hint="eastAsia" w:ascii="Times New Roman" w:hAnsi="Times New Roman" w:cs="Times New Roman"/>
          <w:b w:val="0"/>
          <w:bCs w:val="0"/>
          <w:i/>
          <w:spacing w:val="4"/>
          <w:position w:val="2"/>
          <w:sz w:val="20"/>
          <w:szCs w:val="20"/>
          <w:lang w:val="en-US" w:eastAsia="zh-CN"/>
        </w:rPr>
        <w:t>Interactive Learning Environments</w:t>
      </w:r>
      <w:r>
        <w:rPr>
          <w:rFonts w:hint="eastAsia" w:ascii="Times New Roman" w:hAnsi="Times New Roman" w:cs="Times New Roman"/>
          <w:b w:val="0"/>
          <w:bCs w:val="0"/>
          <w:spacing w:val="4"/>
          <w:position w:val="2"/>
          <w:sz w:val="20"/>
          <w:szCs w:val="20"/>
          <w:lang w:val="en-US" w:eastAsia="zh-CN"/>
        </w:rPr>
        <w:t xml:space="preserve"> </w:t>
      </w:r>
      <w:r>
        <w:rPr>
          <w:rFonts w:hint="eastAsia" w:ascii="Times New Roman" w:hAnsi="Times New Roman" w:cs="Times New Roman"/>
          <w:b/>
          <w:bCs w:val="0"/>
          <w:spacing w:val="4"/>
          <w:position w:val="2"/>
          <w:sz w:val="20"/>
          <w:szCs w:val="20"/>
          <w:lang w:val="en-US" w:eastAsia="zh-CN"/>
        </w:rPr>
        <w:t>0</w:t>
      </w:r>
      <w:r>
        <w:rPr>
          <w:rFonts w:hint="eastAsia" w:ascii="Times New Roman" w:hAnsi="Times New Roman" w:cs="Times New Roman"/>
          <w:b w:val="0"/>
          <w:bCs w:val="0"/>
          <w:spacing w:val="4"/>
          <w:position w:val="2"/>
          <w:sz w:val="20"/>
          <w:szCs w:val="20"/>
          <w:lang w:val="en-US" w:eastAsia="zh-CN"/>
        </w:rPr>
        <w:t>, 1–17 (2025).</w:t>
      </w:r>
    </w:p>
    <w:p w14:paraId="4C1F68B1">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49.</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Li, S., Zheng, J. &amp; Lajoie, S. P. Temporal structures and sequential patterns of self-regulated learning behaviors in problem solving with an intelligent tutoring system. </w:t>
      </w:r>
      <w:r>
        <w:rPr>
          <w:rFonts w:hint="eastAsia" w:ascii="Times New Roman" w:hAnsi="Times New Roman" w:cs="Times New Roman"/>
          <w:b w:val="0"/>
          <w:bCs w:val="0"/>
          <w:i/>
          <w:spacing w:val="4"/>
          <w:position w:val="2"/>
          <w:sz w:val="20"/>
          <w:szCs w:val="20"/>
          <w:lang w:val="en-US" w:eastAsia="zh-CN"/>
        </w:rPr>
        <w:t>Educational Technology &amp; Society</w:t>
      </w:r>
      <w:r>
        <w:rPr>
          <w:rFonts w:hint="eastAsia" w:ascii="Times New Roman" w:hAnsi="Times New Roman" w:cs="Times New Roman"/>
          <w:b w:val="0"/>
          <w:bCs w:val="0"/>
          <w:spacing w:val="4"/>
          <w:position w:val="2"/>
          <w:sz w:val="20"/>
          <w:szCs w:val="20"/>
          <w:lang w:val="en-US" w:eastAsia="zh-CN"/>
        </w:rPr>
        <w:t xml:space="preserve"> </w:t>
      </w:r>
      <w:r>
        <w:rPr>
          <w:rFonts w:hint="eastAsia" w:ascii="Times New Roman" w:hAnsi="Times New Roman" w:cs="Times New Roman"/>
          <w:b/>
          <w:bCs w:val="0"/>
          <w:spacing w:val="4"/>
          <w:position w:val="2"/>
          <w:sz w:val="20"/>
          <w:szCs w:val="20"/>
          <w:lang w:val="en-US" w:eastAsia="zh-CN"/>
        </w:rPr>
        <w:t>25</w:t>
      </w:r>
      <w:r>
        <w:rPr>
          <w:rFonts w:hint="eastAsia" w:ascii="Times New Roman" w:hAnsi="Times New Roman" w:cs="Times New Roman"/>
          <w:b w:val="0"/>
          <w:bCs w:val="0"/>
          <w:spacing w:val="4"/>
          <w:position w:val="2"/>
          <w:sz w:val="20"/>
          <w:szCs w:val="20"/>
          <w:lang w:val="en-US" w:eastAsia="zh-CN"/>
        </w:rPr>
        <w:t>, 1–14 (2022).</w:t>
      </w:r>
    </w:p>
    <w:p w14:paraId="05B74DA0">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50.</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Chan, C. K. Y. &amp; Lee, K. K. W. The AI generation gap: Are Gen Z students more interested in adopting generative AI such as ChatGPT in teaching and learning than their Gen X and millennial generation teachers? </w:t>
      </w:r>
      <w:r>
        <w:rPr>
          <w:rFonts w:hint="eastAsia" w:ascii="Times New Roman" w:hAnsi="Times New Roman" w:cs="Times New Roman"/>
          <w:b w:val="0"/>
          <w:bCs w:val="0"/>
          <w:i/>
          <w:spacing w:val="4"/>
          <w:position w:val="2"/>
          <w:sz w:val="20"/>
          <w:szCs w:val="20"/>
          <w:lang w:val="en-US" w:eastAsia="zh-CN"/>
        </w:rPr>
        <w:t>Smart Learn. Environ.</w:t>
      </w:r>
      <w:r>
        <w:rPr>
          <w:rFonts w:hint="eastAsia" w:ascii="Times New Roman" w:hAnsi="Times New Roman" w:cs="Times New Roman"/>
          <w:b w:val="0"/>
          <w:bCs w:val="0"/>
          <w:spacing w:val="4"/>
          <w:position w:val="2"/>
          <w:sz w:val="20"/>
          <w:szCs w:val="20"/>
          <w:lang w:val="en-US" w:eastAsia="zh-CN"/>
        </w:rPr>
        <w:t xml:space="preserve"> </w:t>
      </w:r>
      <w:r>
        <w:rPr>
          <w:rFonts w:hint="eastAsia" w:ascii="Times New Roman" w:hAnsi="Times New Roman" w:cs="Times New Roman"/>
          <w:b/>
          <w:bCs w:val="0"/>
          <w:spacing w:val="4"/>
          <w:position w:val="2"/>
          <w:sz w:val="20"/>
          <w:szCs w:val="20"/>
          <w:lang w:val="en-US" w:eastAsia="zh-CN"/>
        </w:rPr>
        <w:t>10</w:t>
      </w:r>
      <w:r>
        <w:rPr>
          <w:rFonts w:hint="eastAsia" w:ascii="Times New Roman" w:hAnsi="Times New Roman" w:cs="Times New Roman"/>
          <w:b w:val="0"/>
          <w:bCs w:val="0"/>
          <w:spacing w:val="4"/>
          <w:position w:val="2"/>
          <w:sz w:val="20"/>
          <w:szCs w:val="20"/>
          <w:lang w:val="en-US" w:eastAsia="zh-CN"/>
        </w:rPr>
        <w:t>, 60 (2023).</w:t>
      </w:r>
    </w:p>
    <w:p w14:paraId="473578D7">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51.</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Makel, M. C., Smith, K. N., McBee, M. T., Peters, S. J. &amp; Miller, E. M. A Path to Greater Credibility: Large-Scale Collaborative Education Research. </w:t>
      </w:r>
      <w:r>
        <w:rPr>
          <w:rFonts w:hint="eastAsia" w:ascii="Times New Roman" w:hAnsi="Times New Roman" w:cs="Times New Roman"/>
          <w:b w:val="0"/>
          <w:bCs w:val="0"/>
          <w:i/>
          <w:spacing w:val="4"/>
          <w:position w:val="2"/>
          <w:sz w:val="20"/>
          <w:szCs w:val="20"/>
          <w:lang w:val="en-US" w:eastAsia="zh-CN"/>
        </w:rPr>
        <w:t>AERA Open</w:t>
      </w:r>
      <w:r>
        <w:rPr>
          <w:rFonts w:hint="eastAsia" w:ascii="Times New Roman" w:hAnsi="Times New Roman" w:cs="Times New Roman"/>
          <w:b w:val="0"/>
          <w:bCs w:val="0"/>
          <w:spacing w:val="4"/>
          <w:position w:val="2"/>
          <w:sz w:val="20"/>
          <w:szCs w:val="20"/>
          <w:lang w:val="en-US" w:eastAsia="zh-CN"/>
        </w:rPr>
        <w:t xml:space="preserve"> </w:t>
      </w:r>
      <w:r>
        <w:rPr>
          <w:rFonts w:hint="eastAsia" w:ascii="Times New Roman" w:hAnsi="Times New Roman" w:cs="Times New Roman"/>
          <w:b/>
          <w:bCs w:val="0"/>
          <w:spacing w:val="4"/>
          <w:position w:val="2"/>
          <w:sz w:val="20"/>
          <w:szCs w:val="20"/>
          <w:lang w:val="en-US" w:eastAsia="zh-CN"/>
        </w:rPr>
        <w:t>5</w:t>
      </w:r>
      <w:r>
        <w:rPr>
          <w:rFonts w:hint="eastAsia" w:ascii="Times New Roman" w:hAnsi="Times New Roman" w:cs="Times New Roman"/>
          <w:b w:val="0"/>
          <w:bCs w:val="0"/>
          <w:spacing w:val="4"/>
          <w:position w:val="2"/>
          <w:sz w:val="20"/>
          <w:szCs w:val="20"/>
          <w:lang w:val="en-US" w:eastAsia="zh-CN"/>
        </w:rPr>
        <w:t>, 2332858419891963 (2019).</w:t>
      </w:r>
    </w:p>
    <w:p w14:paraId="06BCBC0B">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52.</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A Case for Multisite Second Language Acquisition Research: Challenges, Risks, and Rewards. https://doi.org/10.1111/lang.12434 doi:10.1111/lang.12434.</w:t>
      </w:r>
    </w:p>
    <w:p w14:paraId="333425D1">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6" w:hanging="386"/>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53.</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White, M. D. &amp; Marsh, E. E. Content Analysis: A Flexible Methodology. </w:t>
      </w:r>
      <w:r>
        <w:rPr>
          <w:rFonts w:hint="eastAsia" w:ascii="Times New Roman" w:hAnsi="Times New Roman" w:cs="Times New Roman"/>
          <w:b w:val="0"/>
          <w:bCs w:val="0"/>
          <w:i/>
          <w:spacing w:val="4"/>
          <w:position w:val="2"/>
          <w:sz w:val="20"/>
          <w:szCs w:val="20"/>
          <w:lang w:val="en-US" w:eastAsia="zh-CN"/>
        </w:rPr>
        <w:t>Library Trends</w:t>
      </w:r>
      <w:r>
        <w:rPr>
          <w:rFonts w:hint="eastAsia" w:ascii="Times New Roman" w:hAnsi="Times New Roman" w:cs="Times New Roman"/>
          <w:b w:val="0"/>
          <w:bCs w:val="0"/>
          <w:spacing w:val="4"/>
          <w:position w:val="2"/>
          <w:sz w:val="20"/>
          <w:szCs w:val="20"/>
          <w:lang w:val="en-US" w:eastAsia="zh-CN"/>
        </w:rPr>
        <w:t xml:space="preserve"> </w:t>
      </w:r>
      <w:r>
        <w:rPr>
          <w:rFonts w:hint="eastAsia" w:ascii="Times New Roman" w:hAnsi="Times New Roman" w:cs="Times New Roman"/>
          <w:b/>
          <w:bCs w:val="0"/>
          <w:spacing w:val="4"/>
          <w:position w:val="2"/>
          <w:sz w:val="20"/>
          <w:szCs w:val="20"/>
          <w:lang w:val="en-US" w:eastAsia="zh-CN"/>
        </w:rPr>
        <w:t>55</w:t>
      </w:r>
      <w:r>
        <w:rPr>
          <w:rFonts w:hint="eastAsia" w:ascii="Times New Roman" w:hAnsi="Times New Roman" w:cs="Times New Roman"/>
          <w:b w:val="0"/>
          <w:bCs w:val="0"/>
          <w:spacing w:val="4"/>
          <w:position w:val="2"/>
          <w:sz w:val="20"/>
          <w:szCs w:val="20"/>
          <w:lang w:val="en-US" w:eastAsia="zh-CN"/>
        </w:rPr>
        <w:t>, 22–45 (2006).</w:t>
      </w:r>
    </w:p>
    <w:p w14:paraId="6D593408">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54.</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Rohrer, J. M. Thinking Clearly About Correlations and Causation: Graphical Causal Models for Observational Data. </w:t>
      </w:r>
      <w:r>
        <w:rPr>
          <w:rFonts w:hint="eastAsia" w:ascii="Times New Roman" w:hAnsi="Times New Roman" w:cs="Times New Roman"/>
          <w:b w:val="0"/>
          <w:bCs w:val="0"/>
          <w:i/>
          <w:spacing w:val="4"/>
          <w:position w:val="2"/>
          <w:sz w:val="20"/>
          <w:szCs w:val="20"/>
          <w:lang w:val="en-US" w:eastAsia="zh-CN"/>
        </w:rPr>
        <w:t>Advances in Methods and Practices in Psychological Science</w:t>
      </w:r>
      <w:r>
        <w:rPr>
          <w:rFonts w:hint="eastAsia" w:ascii="Times New Roman" w:hAnsi="Times New Roman" w:cs="Times New Roman"/>
          <w:b w:val="0"/>
          <w:bCs w:val="0"/>
          <w:spacing w:val="4"/>
          <w:position w:val="2"/>
          <w:sz w:val="20"/>
          <w:szCs w:val="20"/>
          <w:lang w:val="en-US" w:eastAsia="zh-CN"/>
        </w:rPr>
        <w:t xml:space="preserve"> </w:t>
      </w:r>
      <w:r>
        <w:rPr>
          <w:rFonts w:hint="eastAsia" w:ascii="Times New Roman" w:hAnsi="Times New Roman" w:cs="Times New Roman"/>
          <w:b/>
          <w:bCs w:val="0"/>
          <w:spacing w:val="4"/>
          <w:position w:val="2"/>
          <w:sz w:val="20"/>
          <w:szCs w:val="20"/>
          <w:lang w:val="en-US" w:eastAsia="zh-CN"/>
        </w:rPr>
        <w:t>1</w:t>
      </w:r>
      <w:r>
        <w:rPr>
          <w:rFonts w:hint="eastAsia" w:ascii="Times New Roman" w:hAnsi="Times New Roman" w:cs="Times New Roman"/>
          <w:b w:val="0"/>
          <w:bCs w:val="0"/>
          <w:spacing w:val="4"/>
          <w:position w:val="2"/>
          <w:sz w:val="20"/>
          <w:szCs w:val="20"/>
          <w:lang w:val="en-US" w:eastAsia="zh-CN"/>
        </w:rPr>
        <w:t>, 27–42 (2018).</w:t>
      </w:r>
    </w:p>
    <w:p w14:paraId="255383ED">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55.</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Egger, M. &amp; Smith, G. D. meta-analysis bias in location and selection of studies. </w:t>
      </w:r>
      <w:r>
        <w:rPr>
          <w:rFonts w:hint="eastAsia" w:ascii="Times New Roman" w:hAnsi="Times New Roman" w:cs="Times New Roman"/>
          <w:b w:val="0"/>
          <w:bCs w:val="0"/>
          <w:i/>
          <w:spacing w:val="4"/>
          <w:position w:val="2"/>
          <w:sz w:val="20"/>
          <w:szCs w:val="20"/>
          <w:lang w:val="en-US" w:eastAsia="zh-CN"/>
        </w:rPr>
        <w:t>BMJ</w:t>
      </w:r>
      <w:r>
        <w:rPr>
          <w:rFonts w:hint="eastAsia" w:ascii="Times New Roman" w:hAnsi="Times New Roman" w:cs="Times New Roman"/>
          <w:b w:val="0"/>
          <w:bCs w:val="0"/>
          <w:spacing w:val="4"/>
          <w:position w:val="2"/>
          <w:sz w:val="20"/>
          <w:szCs w:val="20"/>
          <w:lang w:val="en-US" w:eastAsia="zh-CN"/>
        </w:rPr>
        <w:t xml:space="preserve"> </w:t>
      </w:r>
      <w:r>
        <w:rPr>
          <w:rFonts w:hint="eastAsia" w:ascii="Times New Roman" w:hAnsi="Times New Roman" w:cs="Times New Roman"/>
          <w:b/>
          <w:bCs w:val="0"/>
          <w:spacing w:val="4"/>
          <w:position w:val="2"/>
          <w:sz w:val="20"/>
          <w:szCs w:val="20"/>
          <w:lang w:val="en-US" w:eastAsia="zh-CN"/>
        </w:rPr>
        <w:t>316</w:t>
      </w:r>
      <w:r>
        <w:rPr>
          <w:rFonts w:hint="eastAsia" w:ascii="Times New Roman" w:hAnsi="Times New Roman" w:cs="Times New Roman"/>
          <w:b w:val="0"/>
          <w:bCs w:val="0"/>
          <w:spacing w:val="4"/>
          <w:position w:val="2"/>
          <w:sz w:val="20"/>
          <w:szCs w:val="20"/>
          <w:lang w:val="en-US" w:eastAsia="zh-CN"/>
        </w:rPr>
        <w:t>, 61–66 (1998).</w:t>
      </w:r>
    </w:p>
    <w:p w14:paraId="11F6899F">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56.</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Grimes, D. A. &amp; Schulz, K. F. Bias and causal associations in observational research. </w:t>
      </w:r>
      <w:r>
        <w:rPr>
          <w:rFonts w:hint="eastAsia" w:ascii="Times New Roman" w:hAnsi="Times New Roman" w:cs="Times New Roman"/>
          <w:b w:val="0"/>
          <w:bCs w:val="0"/>
          <w:i/>
          <w:spacing w:val="4"/>
          <w:position w:val="2"/>
          <w:sz w:val="20"/>
          <w:szCs w:val="20"/>
          <w:lang w:val="en-US" w:eastAsia="zh-CN"/>
        </w:rPr>
        <w:t>The Lancet</w:t>
      </w:r>
      <w:r>
        <w:rPr>
          <w:rFonts w:hint="eastAsia" w:ascii="Times New Roman" w:hAnsi="Times New Roman" w:cs="Times New Roman"/>
          <w:b w:val="0"/>
          <w:bCs w:val="0"/>
          <w:spacing w:val="4"/>
          <w:position w:val="2"/>
          <w:sz w:val="20"/>
          <w:szCs w:val="20"/>
          <w:lang w:val="en-US" w:eastAsia="zh-CN"/>
        </w:rPr>
        <w:t xml:space="preserve"> </w:t>
      </w:r>
      <w:r>
        <w:rPr>
          <w:rFonts w:hint="eastAsia" w:ascii="Times New Roman" w:hAnsi="Times New Roman" w:cs="Times New Roman"/>
          <w:b/>
          <w:bCs w:val="0"/>
          <w:spacing w:val="4"/>
          <w:position w:val="2"/>
          <w:sz w:val="20"/>
          <w:szCs w:val="20"/>
          <w:lang w:val="en-US" w:eastAsia="zh-CN"/>
        </w:rPr>
        <w:t>359</w:t>
      </w:r>
      <w:r>
        <w:rPr>
          <w:rFonts w:hint="eastAsia" w:ascii="Times New Roman" w:hAnsi="Times New Roman" w:cs="Times New Roman"/>
          <w:b w:val="0"/>
          <w:bCs w:val="0"/>
          <w:spacing w:val="4"/>
          <w:position w:val="2"/>
          <w:sz w:val="20"/>
          <w:szCs w:val="20"/>
          <w:lang w:val="en-US" w:eastAsia="zh-CN"/>
        </w:rPr>
        <w:t>, 248–252 (2002).</w:t>
      </w:r>
    </w:p>
    <w:p w14:paraId="518F1AE6">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57.</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Robinson, K. A., Saldanha, I. J. &amp; Mckoy, N. A. Development of a framework to identify research gaps from systematic reviews. </w:t>
      </w:r>
      <w:r>
        <w:rPr>
          <w:rFonts w:hint="eastAsia" w:ascii="Times New Roman" w:hAnsi="Times New Roman" w:cs="Times New Roman"/>
          <w:b w:val="0"/>
          <w:bCs w:val="0"/>
          <w:i/>
          <w:spacing w:val="4"/>
          <w:position w:val="2"/>
          <w:sz w:val="20"/>
          <w:szCs w:val="20"/>
          <w:lang w:val="en-US" w:eastAsia="zh-CN"/>
        </w:rPr>
        <w:t>Journal of Clinical Epidemiology</w:t>
      </w:r>
      <w:r>
        <w:rPr>
          <w:rFonts w:hint="eastAsia" w:ascii="Times New Roman" w:hAnsi="Times New Roman" w:cs="Times New Roman"/>
          <w:b w:val="0"/>
          <w:bCs w:val="0"/>
          <w:spacing w:val="4"/>
          <w:position w:val="2"/>
          <w:sz w:val="20"/>
          <w:szCs w:val="20"/>
          <w:lang w:val="en-US" w:eastAsia="zh-CN"/>
        </w:rPr>
        <w:t xml:space="preserve"> </w:t>
      </w:r>
      <w:r>
        <w:rPr>
          <w:rFonts w:hint="eastAsia" w:ascii="Times New Roman" w:hAnsi="Times New Roman" w:cs="Times New Roman"/>
          <w:b/>
          <w:bCs w:val="0"/>
          <w:spacing w:val="4"/>
          <w:position w:val="2"/>
          <w:sz w:val="20"/>
          <w:szCs w:val="20"/>
          <w:lang w:val="en-US" w:eastAsia="zh-CN"/>
        </w:rPr>
        <w:t>64</w:t>
      </w:r>
      <w:r>
        <w:rPr>
          <w:rFonts w:hint="eastAsia" w:ascii="Times New Roman" w:hAnsi="Times New Roman" w:cs="Times New Roman"/>
          <w:b w:val="0"/>
          <w:bCs w:val="0"/>
          <w:spacing w:val="4"/>
          <w:position w:val="2"/>
          <w:sz w:val="20"/>
          <w:szCs w:val="20"/>
          <w:lang w:val="en-US" w:eastAsia="zh-CN"/>
        </w:rPr>
        <w:t>, 1325–1330 (2011).</w:t>
      </w:r>
    </w:p>
    <w:p w14:paraId="0A7CCEE3">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58.</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Langfeldt, L., Nedeva, M., Sörlin, S. &amp; Thomas, D. A. Co-existing Notions of Research Quality: A Framework to Study Context-specific Understandings of Good Research. </w:t>
      </w:r>
      <w:r>
        <w:rPr>
          <w:rFonts w:hint="eastAsia" w:ascii="Times New Roman" w:hAnsi="Times New Roman" w:cs="Times New Roman"/>
          <w:b w:val="0"/>
          <w:bCs w:val="0"/>
          <w:i/>
          <w:spacing w:val="4"/>
          <w:position w:val="2"/>
          <w:sz w:val="20"/>
          <w:szCs w:val="20"/>
          <w:lang w:val="en-US" w:eastAsia="zh-CN"/>
        </w:rPr>
        <w:t>Minerva</w:t>
      </w:r>
      <w:r>
        <w:rPr>
          <w:rFonts w:hint="eastAsia" w:ascii="Times New Roman" w:hAnsi="Times New Roman" w:cs="Times New Roman"/>
          <w:b w:val="0"/>
          <w:bCs w:val="0"/>
          <w:spacing w:val="4"/>
          <w:position w:val="2"/>
          <w:sz w:val="20"/>
          <w:szCs w:val="20"/>
          <w:lang w:val="en-US" w:eastAsia="zh-CN"/>
        </w:rPr>
        <w:t xml:space="preserve"> </w:t>
      </w:r>
      <w:r>
        <w:rPr>
          <w:rFonts w:hint="eastAsia" w:ascii="Times New Roman" w:hAnsi="Times New Roman" w:cs="Times New Roman"/>
          <w:b/>
          <w:bCs w:val="0"/>
          <w:spacing w:val="4"/>
          <w:position w:val="2"/>
          <w:sz w:val="20"/>
          <w:szCs w:val="20"/>
          <w:lang w:val="en-US" w:eastAsia="zh-CN"/>
        </w:rPr>
        <w:t>58</w:t>
      </w:r>
      <w:r>
        <w:rPr>
          <w:rFonts w:hint="eastAsia" w:ascii="Times New Roman" w:hAnsi="Times New Roman" w:cs="Times New Roman"/>
          <w:b w:val="0"/>
          <w:bCs w:val="0"/>
          <w:spacing w:val="4"/>
          <w:position w:val="2"/>
          <w:sz w:val="20"/>
          <w:szCs w:val="20"/>
          <w:lang w:val="en-US" w:eastAsia="zh-CN"/>
        </w:rPr>
        <w:t>, 115–137 (2020).</w:t>
      </w:r>
    </w:p>
    <w:p w14:paraId="6FC81521">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59.</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Escueta, M., Nickow, A. J., Oreopoulos, P. &amp; Quan, V. Upgrading Education with Technology: Insights from Experimental Research. </w:t>
      </w:r>
      <w:r>
        <w:rPr>
          <w:rFonts w:hint="eastAsia" w:ascii="Times New Roman" w:hAnsi="Times New Roman" w:cs="Times New Roman"/>
          <w:b w:val="0"/>
          <w:bCs w:val="0"/>
          <w:i/>
          <w:spacing w:val="4"/>
          <w:position w:val="2"/>
          <w:sz w:val="20"/>
          <w:szCs w:val="20"/>
          <w:lang w:val="en-US" w:eastAsia="zh-CN"/>
        </w:rPr>
        <w:t>Journal of Economic Literature</w:t>
      </w:r>
      <w:r>
        <w:rPr>
          <w:rFonts w:hint="eastAsia" w:ascii="Times New Roman" w:hAnsi="Times New Roman" w:cs="Times New Roman"/>
          <w:b w:val="0"/>
          <w:bCs w:val="0"/>
          <w:spacing w:val="4"/>
          <w:position w:val="2"/>
          <w:sz w:val="20"/>
          <w:szCs w:val="20"/>
          <w:lang w:val="en-US" w:eastAsia="zh-CN"/>
        </w:rPr>
        <w:t xml:space="preserve"> </w:t>
      </w:r>
      <w:r>
        <w:rPr>
          <w:rFonts w:hint="eastAsia" w:ascii="Times New Roman" w:hAnsi="Times New Roman" w:cs="Times New Roman"/>
          <w:b/>
          <w:bCs w:val="0"/>
          <w:spacing w:val="4"/>
          <w:position w:val="2"/>
          <w:sz w:val="20"/>
          <w:szCs w:val="20"/>
          <w:lang w:val="en-US" w:eastAsia="zh-CN"/>
        </w:rPr>
        <w:t>58</w:t>
      </w:r>
      <w:r>
        <w:rPr>
          <w:rFonts w:hint="eastAsia" w:ascii="Times New Roman" w:hAnsi="Times New Roman" w:cs="Times New Roman"/>
          <w:b w:val="0"/>
          <w:bCs w:val="0"/>
          <w:spacing w:val="4"/>
          <w:position w:val="2"/>
          <w:sz w:val="20"/>
          <w:szCs w:val="20"/>
          <w:lang w:val="en-US" w:eastAsia="zh-CN"/>
        </w:rPr>
        <w:t>, 897–996 (2020).</w:t>
      </w:r>
    </w:p>
    <w:p w14:paraId="1820A5FB">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val="0"/>
          <w:bCs w:val="0"/>
          <w:spacing w:val="4"/>
          <w:position w:val="2"/>
          <w:sz w:val="20"/>
          <w:szCs w:val="20"/>
          <w:lang w:val="en-US" w:eastAsia="zh-CN"/>
        </w:rPr>
      </w:pPr>
      <w:r>
        <w:rPr>
          <w:rFonts w:hint="eastAsia" w:ascii="Times New Roman" w:hAnsi="Times New Roman" w:cs="Times New Roman"/>
          <w:b w:val="0"/>
          <w:bCs w:val="0"/>
          <w:spacing w:val="4"/>
          <w:position w:val="2"/>
          <w:sz w:val="20"/>
          <w:szCs w:val="20"/>
          <w:lang w:val="en-US" w:eastAsia="zh-CN"/>
        </w:rPr>
        <w:t>60.</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Hinshaw, S. P. Intervention research, theoretical mechanisms, and causal processes related to externalizing behavior patterns. </w:t>
      </w:r>
      <w:r>
        <w:rPr>
          <w:rFonts w:hint="eastAsia" w:ascii="Times New Roman" w:hAnsi="Times New Roman" w:cs="Times New Roman"/>
          <w:b w:val="0"/>
          <w:bCs w:val="0"/>
          <w:i/>
          <w:spacing w:val="4"/>
          <w:position w:val="2"/>
          <w:sz w:val="20"/>
          <w:szCs w:val="20"/>
          <w:lang w:val="en-US" w:eastAsia="zh-CN"/>
        </w:rPr>
        <w:t>Development and Psychopathology</w:t>
      </w:r>
      <w:r>
        <w:rPr>
          <w:rFonts w:hint="eastAsia" w:ascii="Times New Roman" w:hAnsi="Times New Roman" w:cs="Times New Roman"/>
          <w:b w:val="0"/>
          <w:bCs w:val="0"/>
          <w:spacing w:val="4"/>
          <w:position w:val="2"/>
          <w:sz w:val="20"/>
          <w:szCs w:val="20"/>
          <w:lang w:val="en-US" w:eastAsia="zh-CN"/>
        </w:rPr>
        <w:t xml:space="preserve"> </w:t>
      </w:r>
      <w:r>
        <w:rPr>
          <w:rFonts w:hint="eastAsia" w:ascii="Times New Roman" w:hAnsi="Times New Roman" w:cs="Times New Roman"/>
          <w:b/>
          <w:bCs w:val="0"/>
          <w:spacing w:val="4"/>
          <w:position w:val="2"/>
          <w:sz w:val="20"/>
          <w:szCs w:val="20"/>
          <w:lang w:val="en-US" w:eastAsia="zh-CN"/>
        </w:rPr>
        <w:t>14</w:t>
      </w:r>
      <w:r>
        <w:rPr>
          <w:rFonts w:hint="eastAsia" w:ascii="Times New Roman" w:hAnsi="Times New Roman" w:cs="Times New Roman"/>
          <w:b w:val="0"/>
          <w:bCs w:val="0"/>
          <w:spacing w:val="4"/>
          <w:position w:val="2"/>
          <w:sz w:val="20"/>
          <w:szCs w:val="20"/>
          <w:lang w:val="en-US" w:eastAsia="zh-CN"/>
        </w:rPr>
        <w:t>, 789–818 (2002).</w:t>
      </w:r>
    </w:p>
    <w:p w14:paraId="35E65E9C">
      <w:pPr>
        <w:pStyle w:val="6"/>
        <w:keepNext w:val="0"/>
        <w:keepLines w:val="0"/>
        <w:pageBreakBefore w:val="0"/>
        <w:widowControl/>
        <w:tabs>
          <w:tab w:val="left" w:pos="0"/>
        </w:tabs>
        <w:kinsoku w:val="0"/>
        <w:wordWrap/>
        <w:overflowPunct/>
        <w:topLinePunct w:val="0"/>
        <w:autoSpaceDE w:val="0"/>
        <w:autoSpaceDN w:val="0"/>
        <w:bidi w:val="0"/>
        <w:adjustRightInd w:val="0"/>
        <w:snapToGrid/>
        <w:spacing w:before="100" w:beforeAutospacing="1" w:afterAutospacing="1" w:line="240" w:lineRule="auto"/>
        <w:ind w:left="384" w:hanging="384"/>
        <w:contextualSpacing/>
        <w:jc w:val="both"/>
        <w:textAlignment w:val="baseline"/>
        <w:outlineLvl w:val="2"/>
        <w:rPr>
          <w:rFonts w:hint="eastAsia" w:ascii="Times New Roman" w:hAnsi="Times New Roman" w:cs="Times New Roman"/>
          <w:b/>
          <w:bCs/>
          <w:spacing w:val="4"/>
          <w:position w:val="2"/>
          <w:sz w:val="24"/>
          <w:szCs w:val="24"/>
          <w:lang w:val="en-US" w:eastAsia="zh-CN"/>
        </w:rPr>
      </w:pPr>
      <w:r>
        <w:rPr>
          <w:rFonts w:hint="eastAsia" w:ascii="Times New Roman" w:hAnsi="Times New Roman" w:cs="Times New Roman"/>
          <w:b w:val="0"/>
          <w:bCs w:val="0"/>
          <w:spacing w:val="4"/>
          <w:position w:val="2"/>
          <w:sz w:val="20"/>
          <w:szCs w:val="20"/>
          <w:lang w:val="en-US" w:eastAsia="zh-CN"/>
        </w:rPr>
        <w:t>61.</w:t>
      </w:r>
      <w:r>
        <w:rPr>
          <w:rFonts w:hint="eastAsia" w:ascii="Times New Roman" w:hAnsi="Times New Roman" w:cs="Times New Roman"/>
          <w:b w:val="0"/>
          <w:bCs w:val="0"/>
          <w:spacing w:val="4"/>
          <w:position w:val="2"/>
          <w:sz w:val="20"/>
          <w:szCs w:val="20"/>
          <w:lang w:val="en-US" w:eastAsia="zh-CN"/>
        </w:rPr>
        <w:tab/>
      </w:r>
      <w:r>
        <w:rPr>
          <w:rFonts w:hint="eastAsia" w:ascii="Times New Roman" w:hAnsi="Times New Roman" w:cs="Times New Roman"/>
          <w:b w:val="0"/>
          <w:bCs w:val="0"/>
          <w:spacing w:val="4"/>
          <w:position w:val="2"/>
          <w:sz w:val="20"/>
          <w:szCs w:val="20"/>
          <w:lang w:val="en-US" w:eastAsia="zh-CN"/>
        </w:rPr>
        <w:t xml:space="preserve">Nielsen, K. &amp; Miraglia, M. What works for whom in which circumstances? On the need to move beyond the ‘what works?’ question in organizational intervention research. </w:t>
      </w:r>
      <w:r>
        <w:rPr>
          <w:rFonts w:hint="eastAsia" w:ascii="Times New Roman" w:hAnsi="Times New Roman" w:cs="Times New Roman"/>
          <w:b w:val="0"/>
          <w:bCs w:val="0"/>
          <w:i/>
          <w:spacing w:val="4"/>
          <w:position w:val="2"/>
          <w:sz w:val="20"/>
          <w:szCs w:val="20"/>
          <w:lang w:val="en-US" w:eastAsia="zh-CN"/>
        </w:rPr>
        <w:t>Human Relations</w:t>
      </w:r>
      <w:r>
        <w:rPr>
          <w:rFonts w:hint="eastAsia" w:ascii="Times New Roman" w:hAnsi="Times New Roman" w:cs="Times New Roman"/>
          <w:b w:val="0"/>
          <w:bCs w:val="0"/>
          <w:spacing w:val="4"/>
          <w:position w:val="2"/>
          <w:sz w:val="20"/>
          <w:szCs w:val="20"/>
          <w:lang w:val="en-US" w:eastAsia="zh-CN"/>
        </w:rPr>
        <w:t xml:space="preserve"> </w:t>
      </w:r>
      <w:r>
        <w:rPr>
          <w:rFonts w:hint="eastAsia" w:ascii="Times New Roman" w:hAnsi="Times New Roman" w:cs="Times New Roman"/>
          <w:b/>
          <w:bCs w:val="0"/>
          <w:spacing w:val="4"/>
          <w:position w:val="2"/>
          <w:sz w:val="20"/>
          <w:szCs w:val="20"/>
          <w:lang w:val="en-US" w:eastAsia="zh-CN"/>
        </w:rPr>
        <w:t>70</w:t>
      </w:r>
      <w:r>
        <w:rPr>
          <w:rFonts w:hint="eastAsia" w:ascii="Times New Roman" w:hAnsi="Times New Roman" w:cs="Times New Roman"/>
          <w:b w:val="0"/>
          <w:bCs w:val="0"/>
          <w:spacing w:val="4"/>
          <w:position w:val="2"/>
          <w:sz w:val="20"/>
          <w:szCs w:val="20"/>
          <w:lang w:val="en-US" w:eastAsia="zh-CN"/>
        </w:rPr>
        <w:t>, 40–62 (2017).</w:t>
      </w:r>
      <w:r>
        <w:rPr>
          <w:rFonts w:hint="eastAsia" w:ascii="Times New Roman" w:hAnsi="Times New Roman" w:cs="Times New Roman"/>
          <w:b w:val="0"/>
          <w:bCs w:val="0"/>
          <w:spacing w:val="4"/>
          <w:position w:val="2"/>
          <w:sz w:val="20"/>
          <w:szCs w:val="20"/>
          <w:lang w:val="en-US" w:eastAsia="zh-CN"/>
        </w:rPr>
        <w:fldChar w:fldCharType="end"/>
      </w:r>
      <w:r>
        <w:rPr>
          <w:rFonts w:hint="eastAsia" w:ascii="Times New Roman" w:hAnsi="Times New Roman" w:cs="Times New Roman"/>
          <w:b/>
          <w:bCs/>
          <w:spacing w:val="4"/>
          <w:position w:val="2"/>
          <w:sz w:val="24"/>
          <w:szCs w:val="24"/>
          <w:lang w:val="en-US" w:eastAsia="zh-CN"/>
        </w:rPr>
        <w:br w:type="page"/>
      </w:r>
    </w:p>
    <w:p w14:paraId="57A7B514">
      <w:pPr>
        <w:pStyle w:val="6"/>
        <w:snapToGrid/>
        <w:spacing w:before="100" w:beforeAutospacing="1" w:after="100" w:afterAutospacing="1" w:line="480" w:lineRule="auto"/>
        <w:ind w:left="11" w:hanging="420"/>
        <w:contextualSpacing/>
        <w:jc w:val="both"/>
        <w:outlineLvl w:val="2"/>
        <w:rPr>
          <w:rFonts w:hint="eastAsia" w:ascii="Times New Roman" w:hAnsi="Times New Roman" w:cs="Times New Roman"/>
          <w:b/>
          <w:bCs/>
          <w:spacing w:val="4"/>
          <w:position w:val="2"/>
          <w:sz w:val="24"/>
          <w:szCs w:val="24"/>
          <w:lang w:val="en-US" w:eastAsia="zh-CN"/>
        </w:rPr>
      </w:pPr>
      <w:r>
        <w:rPr>
          <w:rFonts w:hint="eastAsia" w:ascii="Times New Roman" w:hAnsi="Times New Roman" w:cs="Times New Roman"/>
          <w:b/>
          <w:bCs/>
          <w:spacing w:val="4"/>
          <w:position w:val="2"/>
          <w:sz w:val="24"/>
          <w:szCs w:val="24"/>
          <w:lang w:val="en-US" w:eastAsia="zh-CN"/>
        </w:rPr>
        <w:t>Appendix A</w:t>
      </w:r>
    </w:p>
    <w:p w14:paraId="695CFC85">
      <w:pPr>
        <w:pStyle w:val="6"/>
        <w:snapToGrid/>
        <w:spacing w:before="100" w:beforeAutospacing="1" w:after="100" w:afterAutospacing="1" w:line="480" w:lineRule="auto"/>
        <w:ind w:left="11" w:hanging="420"/>
        <w:contextualSpacing/>
        <w:jc w:val="both"/>
        <w:outlineLvl w:val="2"/>
        <w:rPr>
          <w:rFonts w:hint="default" w:ascii="Times New Roman" w:hAnsi="Times New Roman" w:cs="Times New Roman"/>
          <w:b/>
          <w:bCs/>
          <w:spacing w:val="4"/>
          <w:position w:val="2"/>
          <w:sz w:val="24"/>
          <w:szCs w:val="24"/>
          <w:lang w:val="en-US" w:eastAsia="zh-CN"/>
        </w:rPr>
      </w:pPr>
      <w:r>
        <w:rPr>
          <w:rFonts w:hint="eastAsia" w:ascii="Times New Roman" w:hAnsi="Times New Roman" w:cs="Times New Roman"/>
          <w:b/>
          <w:bCs/>
          <w:spacing w:val="4"/>
          <w:position w:val="2"/>
          <w:sz w:val="24"/>
          <w:szCs w:val="24"/>
          <w:lang w:val="en-US" w:eastAsia="zh-CN"/>
        </w:rPr>
        <w:t>RQ3 RESEARCH GAP VARIABLES AND CODING TABLE</w:t>
      </w:r>
    </w:p>
    <w:tbl>
      <w:tblPr>
        <w:tblStyle w:val="11"/>
        <w:tblW w:w="9529" w:type="dxa"/>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70"/>
        <w:gridCol w:w="869"/>
        <w:gridCol w:w="3434"/>
        <w:gridCol w:w="4656"/>
      </w:tblGrid>
      <w:tr w14:paraId="0BF81B4F">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570" w:type="dxa"/>
            <w:tcBorders>
              <w:bottom w:val="single" w:color="auto" w:sz="4" w:space="0"/>
            </w:tcBorders>
            <w:shd w:val="clear" w:color="auto" w:fill="D7D7D7" w:themeFill="background1" w:themeFillShade="D8"/>
            <w:noWrap w:val="0"/>
            <w:vAlign w:val="center"/>
          </w:tcPr>
          <w:p w14:paraId="4FD8E032">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b/>
                <w:bCs/>
                <w:i w:val="0"/>
                <w:iCs w:val="0"/>
                <w:color w:val="1F2329"/>
                <w:sz w:val="24"/>
                <w:szCs w:val="24"/>
                <w:u w:val="none"/>
              </w:rPr>
            </w:pPr>
            <w:r>
              <w:rPr>
                <w:rFonts w:hint="default" w:ascii="Times New Roman" w:hAnsi="Times New Roman" w:eastAsia="ui-sans-serif" w:cs="Times New Roman"/>
                <w:b/>
                <w:bCs/>
                <w:i w:val="0"/>
                <w:iCs w:val="0"/>
                <w:snapToGrid w:val="0"/>
                <w:color w:val="1F2329"/>
                <w:kern w:val="0"/>
                <w:sz w:val="24"/>
                <w:szCs w:val="24"/>
                <w:u w:val="none"/>
                <w:lang w:val="en-US" w:eastAsia="zh-CN" w:bidi="ar"/>
              </w:rPr>
              <w:t>No.</w:t>
            </w:r>
          </w:p>
        </w:tc>
        <w:tc>
          <w:tcPr>
            <w:tcW w:w="869" w:type="dxa"/>
            <w:tcBorders>
              <w:bottom w:val="single" w:color="auto" w:sz="4" w:space="0"/>
            </w:tcBorders>
            <w:shd w:val="clear" w:color="auto" w:fill="D7D7D7" w:themeFill="background1" w:themeFillShade="D8"/>
            <w:noWrap w:val="0"/>
            <w:vAlign w:val="center"/>
          </w:tcPr>
          <w:p w14:paraId="34367265">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b/>
                <w:bCs/>
                <w:i w:val="0"/>
                <w:iCs w:val="0"/>
                <w:color w:val="1F2329"/>
                <w:sz w:val="24"/>
                <w:szCs w:val="24"/>
                <w:u w:val="none"/>
              </w:rPr>
            </w:pPr>
            <w:r>
              <w:rPr>
                <w:rFonts w:hint="default" w:ascii="Times New Roman" w:hAnsi="Times New Roman" w:eastAsia="ui-sans-serif" w:cs="Times New Roman"/>
                <w:b/>
                <w:bCs/>
                <w:i w:val="0"/>
                <w:iCs w:val="0"/>
                <w:snapToGrid w:val="0"/>
                <w:color w:val="1F2329"/>
                <w:kern w:val="0"/>
                <w:sz w:val="24"/>
                <w:szCs w:val="24"/>
                <w:u w:val="none"/>
                <w:lang w:val="en-US" w:eastAsia="zh-CN" w:bidi="ar"/>
              </w:rPr>
              <w:t>Code</w:t>
            </w:r>
          </w:p>
        </w:tc>
        <w:tc>
          <w:tcPr>
            <w:tcW w:w="3434" w:type="dxa"/>
            <w:tcBorders>
              <w:bottom w:val="single" w:color="auto" w:sz="4" w:space="0"/>
            </w:tcBorders>
            <w:shd w:val="clear" w:color="auto" w:fill="D7D7D7" w:themeFill="background1" w:themeFillShade="D8"/>
            <w:noWrap w:val="0"/>
            <w:vAlign w:val="center"/>
          </w:tcPr>
          <w:p w14:paraId="6DF57D0D">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b/>
                <w:bCs/>
                <w:i w:val="0"/>
                <w:iCs w:val="0"/>
                <w:color w:val="1F2329"/>
                <w:sz w:val="24"/>
                <w:szCs w:val="24"/>
                <w:u w:val="none"/>
              </w:rPr>
            </w:pPr>
            <w:r>
              <w:rPr>
                <w:rFonts w:hint="default" w:ascii="Times New Roman" w:hAnsi="Times New Roman" w:eastAsia="ui-sans-serif" w:cs="Times New Roman"/>
                <w:b/>
                <w:bCs/>
                <w:i w:val="0"/>
                <w:iCs w:val="0"/>
                <w:snapToGrid w:val="0"/>
                <w:color w:val="1F2329"/>
                <w:kern w:val="0"/>
                <w:sz w:val="24"/>
                <w:szCs w:val="24"/>
                <w:u w:val="none"/>
                <w:lang w:val="en-US" w:eastAsia="zh-CN" w:bidi="ar"/>
              </w:rPr>
              <w:t>Variable Name</w:t>
            </w:r>
          </w:p>
        </w:tc>
        <w:tc>
          <w:tcPr>
            <w:tcW w:w="4656" w:type="dxa"/>
            <w:tcBorders>
              <w:bottom w:val="single" w:color="auto" w:sz="4" w:space="0"/>
            </w:tcBorders>
            <w:shd w:val="clear" w:color="auto" w:fill="D7D7D7" w:themeFill="background1" w:themeFillShade="D8"/>
            <w:noWrap w:val="0"/>
            <w:vAlign w:val="center"/>
          </w:tcPr>
          <w:p w14:paraId="543DAA48">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b/>
                <w:bCs/>
                <w:i w:val="0"/>
                <w:iCs w:val="0"/>
                <w:color w:val="1F2329"/>
                <w:sz w:val="24"/>
                <w:szCs w:val="24"/>
                <w:u w:val="none"/>
              </w:rPr>
            </w:pPr>
            <w:r>
              <w:rPr>
                <w:rFonts w:hint="default" w:ascii="Times New Roman" w:hAnsi="Times New Roman" w:eastAsia="ui-sans-serif" w:cs="Times New Roman"/>
                <w:b/>
                <w:bCs/>
                <w:i w:val="0"/>
                <w:iCs w:val="0"/>
                <w:snapToGrid w:val="0"/>
                <w:color w:val="1F2329"/>
                <w:kern w:val="0"/>
                <w:sz w:val="24"/>
                <w:szCs w:val="24"/>
                <w:u w:val="none"/>
                <w:lang w:val="en-US" w:eastAsia="zh-CN" w:bidi="ar"/>
              </w:rPr>
              <w:t>Detailed Explanation</w:t>
            </w:r>
          </w:p>
        </w:tc>
      </w:tr>
      <w:tr w14:paraId="7A65F7C5">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70" w:type="dxa"/>
            <w:tcBorders>
              <w:top w:val="single" w:color="auto" w:sz="4" w:space="0"/>
            </w:tcBorders>
            <w:noWrap w:val="0"/>
            <w:vAlign w:val="center"/>
          </w:tcPr>
          <w:p w14:paraId="58B7FADB">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1</w:t>
            </w:r>
          </w:p>
        </w:tc>
        <w:tc>
          <w:tcPr>
            <w:tcW w:w="869" w:type="dxa"/>
            <w:tcBorders>
              <w:top w:val="single" w:color="auto" w:sz="4" w:space="0"/>
            </w:tcBorders>
            <w:noWrap w:val="0"/>
            <w:vAlign w:val="center"/>
          </w:tcPr>
          <w:p w14:paraId="34B3C154">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C1</w:t>
            </w:r>
          </w:p>
        </w:tc>
        <w:tc>
          <w:tcPr>
            <w:tcW w:w="3434" w:type="dxa"/>
            <w:tcBorders>
              <w:top w:val="single" w:color="auto" w:sz="4" w:space="0"/>
            </w:tcBorders>
            <w:noWrap w:val="0"/>
            <w:vAlign w:val="center"/>
          </w:tcPr>
          <w:p w14:paraId="21D8DAC8">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Insufficient discipline-/task-specific evidence</w:t>
            </w:r>
          </w:p>
        </w:tc>
        <w:tc>
          <w:tcPr>
            <w:tcW w:w="4656" w:type="dxa"/>
            <w:tcBorders>
              <w:top w:val="single" w:color="auto" w:sz="4" w:space="0"/>
            </w:tcBorders>
            <w:noWrap w:val="0"/>
            <w:vAlign w:val="center"/>
          </w:tcPr>
          <w:p w14:paraId="271C9274">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Lack of empirical research targeted at specific disciplines or tasks, failing to address context-specific application scenarios</w:t>
            </w:r>
          </w:p>
        </w:tc>
      </w:tr>
      <w:tr w14:paraId="1C408E3C">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70" w:type="dxa"/>
            <w:noWrap w:val="0"/>
            <w:vAlign w:val="center"/>
          </w:tcPr>
          <w:p w14:paraId="56734012">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2</w:t>
            </w:r>
          </w:p>
        </w:tc>
        <w:tc>
          <w:tcPr>
            <w:tcW w:w="869" w:type="dxa"/>
            <w:noWrap w:val="0"/>
            <w:vAlign w:val="center"/>
          </w:tcPr>
          <w:p w14:paraId="15AFF978">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C2</w:t>
            </w:r>
          </w:p>
        </w:tc>
        <w:tc>
          <w:tcPr>
            <w:tcW w:w="3434" w:type="dxa"/>
            <w:noWrap w:val="0"/>
            <w:vAlign w:val="center"/>
          </w:tcPr>
          <w:p w14:paraId="5EFC839D">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Insufficient attention to student stage/experience differences</w:t>
            </w:r>
          </w:p>
        </w:tc>
        <w:tc>
          <w:tcPr>
            <w:tcW w:w="4656" w:type="dxa"/>
            <w:noWrap w:val="0"/>
            <w:vAlign w:val="center"/>
          </w:tcPr>
          <w:p w14:paraId="0031A8BC">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Inadequate exploration of variations in student performance and adaptation based on proficiency levels (novice vs. advanced) and developmental stages</w:t>
            </w:r>
          </w:p>
        </w:tc>
      </w:tr>
      <w:tr w14:paraId="69B7881E">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70" w:type="dxa"/>
            <w:noWrap w:val="0"/>
            <w:vAlign w:val="center"/>
          </w:tcPr>
          <w:p w14:paraId="41845104">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3</w:t>
            </w:r>
          </w:p>
        </w:tc>
        <w:tc>
          <w:tcPr>
            <w:tcW w:w="869" w:type="dxa"/>
            <w:noWrap w:val="0"/>
            <w:vAlign w:val="center"/>
          </w:tcPr>
          <w:p w14:paraId="702A8381">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C3</w:t>
            </w:r>
          </w:p>
        </w:tc>
        <w:tc>
          <w:tcPr>
            <w:tcW w:w="3434" w:type="dxa"/>
            <w:noWrap w:val="0"/>
            <w:vAlign w:val="center"/>
          </w:tcPr>
          <w:p w14:paraId="05700D68">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Insufficient pedagogy/curriculum integration and guidelines</w:t>
            </w:r>
          </w:p>
        </w:tc>
        <w:tc>
          <w:tcPr>
            <w:tcW w:w="4656" w:type="dxa"/>
            <w:noWrap w:val="0"/>
            <w:vAlign w:val="center"/>
          </w:tcPr>
          <w:p w14:paraId="6ADED7E4">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Deficiencies in research on studio pedagogy, as well as the development and adaptation of curriculum guidelines for targeted educational practices</w:t>
            </w:r>
          </w:p>
        </w:tc>
      </w:tr>
      <w:tr w14:paraId="489A763C">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70" w:type="dxa"/>
            <w:noWrap w:val="0"/>
            <w:vAlign w:val="center"/>
          </w:tcPr>
          <w:p w14:paraId="69F2065F">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4</w:t>
            </w:r>
          </w:p>
        </w:tc>
        <w:tc>
          <w:tcPr>
            <w:tcW w:w="869" w:type="dxa"/>
            <w:noWrap w:val="0"/>
            <w:vAlign w:val="center"/>
          </w:tcPr>
          <w:p w14:paraId="193E19F7">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C4</w:t>
            </w:r>
          </w:p>
        </w:tc>
        <w:tc>
          <w:tcPr>
            <w:tcW w:w="3434" w:type="dxa"/>
            <w:noWrap w:val="0"/>
            <w:vAlign w:val="center"/>
          </w:tcPr>
          <w:p w14:paraId="5B49809D">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Insufficient AI literacy, prompt engineering, and skill cultivation</w:t>
            </w:r>
          </w:p>
        </w:tc>
        <w:tc>
          <w:tcPr>
            <w:tcW w:w="4656" w:type="dxa"/>
            <w:noWrap w:val="0"/>
            <w:vAlign w:val="center"/>
          </w:tcPr>
          <w:p w14:paraId="4B35343D">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Lack of focus on fostering students’ AI literacy, prompt design capabilities, and related practical skill development</w:t>
            </w:r>
          </w:p>
        </w:tc>
      </w:tr>
      <w:tr w14:paraId="44687BF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70" w:type="dxa"/>
            <w:noWrap w:val="0"/>
            <w:vAlign w:val="center"/>
          </w:tcPr>
          <w:p w14:paraId="04227D9C">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5</w:t>
            </w:r>
          </w:p>
        </w:tc>
        <w:tc>
          <w:tcPr>
            <w:tcW w:w="869" w:type="dxa"/>
            <w:noWrap w:val="0"/>
            <w:vAlign w:val="center"/>
          </w:tcPr>
          <w:p w14:paraId="66CDF95D">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C5</w:t>
            </w:r>
          </w:p>
        </w:tc>
        <w:tc>
          <w:tcPr>
            <w:tcW w:w="3434" w:type="dxa"/>
            <w:noWrap w:val="0"/>
            <w:vAlign w:val="center"/>
          </w:tcPr>
          <w:p w14:paraId="4BE83FB1">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Insufficient research on attitudes/psychological mechanisms and measurement</w:t>
            </w:r>
          </w:p>
        </w:tc>
        <w:tc>
          <w:tcPr>
            <w:tcW w:w="4656" w:type="dxa"/>
            <w:noWrap w:val="0"/>
            <w:vAlign w:val="center"/>
          </w:tcPr>
          <w:p w14:paraId="31AE8743">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Inadequate investigation of student acceptance, attitudes, personality traits, and other psychological constructs, along with a lack of validated measurement scales</w:t>
            </w:r>
          </w:p>
        </w:tc>
      </w:tr>
      <w:tr w14:paraId="3616BC1F">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70" w:type="dxa"/>
            <w:noWrap w:val="0"/>
            <w:vAlign w:val="center"/>
          </w:tcPr>
          <w:p w14:paraId="5DFE68D0">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6</w:t>
            </w:r>
          </w:p>
        </w:tc>
        <w:tc>
          <w:tcPr>
            <w:tcW w:w="869" w:type="dxa"/>
            <w:noWrap w:val="0"/>
            <w:vAlign w:val="center"/>
          </w:tcPr>
          <w:p w14:paraId="453C8F13">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C6</w:t>
            </w:r>
          </w:p>
        </w:tc>
        <w:tc>
          <w:tcPr>
            <w:tcW w:w="3434" w:type="dxa"/>
            <w:noWrap w:val="0"/>
            <w:vAlign w:val="center"/>
          </w:tcPr>
          <w:p w14:paraId="41281B59">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Unclear human-AI collaboration process mechanisms</w:t>
            </w:r>
          </w:p>
        </w:tc>
        <w:tc>
          <w:tcPr>
            <w:tcW w:w="4656" w:type="dxa"/>
            <w:noWrap w:val="0"/>
            <w:vAlign w:val="center"/>
          </w:tcPr>
          <w:p w14:paraId="1A81CE0D">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Ambiguity regarding interaction patterns, optimal timing of AI intervention, effective usage strategies, and control/learnability in human-AI collaborative processes</w:t>
            </w:r>
          </w:p>
        </w:tc>
      </w:tr>
      <w:tr w14:paraId="3CE3B918">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70" w:type="dxa"/>
            <w:noWrap w:val="0"/>
            <w:vAlign w:val="center"/>
          </w:tcPr>
          <w:p w14:paraId="419861A4">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7</w:t>
            </w:r>
          </w:p>
        </w:tc>
        <w:tc>
          <w:tcPr>
            <w:tcW w:w="869" w:type="dxa"/>
            <w:noWrap w:val="0"/>
            <w:vAlign w:val="center"/>
          </w:tcPr>
          <w:p w14:paraId="1CE25B5E">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C7</w:t>
            </w:r>
          </w:p>
        </w:tc>
        <w:tc>
          <w:tcPr>
            <w:tcW w:w="3434" w:type="dxa"/>
            <w:noWrap w:val="0"/>
            <w:vAlign w:val="center"/>
          </w:tcPr>
          <w:p w14:paraId="6B56E7CB">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Insufficient coverage of creativity/design processes</w:t>
            </w:r>
          </w:p>
        </w:tc>
        <w:tc>
          <w:tcPr>
            <w:tcW w:w="4656" w:type="dxa"/>
            <w:noWrap w:val="0"/>
            <w:vAlign w:val="center"/>
          </w:tcPr>
          <w:p w14:paraId="08E73E9D">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Limited research on AI’s impact on creative processes, risks of homogenization in outcomes, and inadequate attention to empathy/testing phases and motivational factors</w:t>
            </w:r>
          </w:p>
        </w:tc>
      </w:tr>
      <w:tr w14:paraId="4F500A7B">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70" w:type="dxa"/>
            <w:noWrap w:val="0"/>
            <w:vAlign w:val="center"/>
          </w:tcPr>
          <w:p w14:paraId="22E23B2D">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8</w:t>
            </w:r>
          </w:p>
        </w:tc>
        <w:tc>
          <w:tcPr>
            <w:tcW w:w="869" w:type="dxa"/>
            <w:noWrap w:val="0"/>
            <w:vAlign w:val="center"/>
          </w:tcPr>
          <w:p w14:paraId="30525ED0">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C8</w:t>
            </w:r>
          </w:p>
        </w:tc>
        <w:tc>
          <w:tcPr>
            <w:tcW w:w="3434" w:type="dxa"/>
            <w:noWrap w:val="0"/>
            <w:vAlign w:val="center"/>
          </w:tcPr>
          <w:p w14:paraId="09FB43A4">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Ethical governance, authorship, and intellectual property issues</w:t>
            </w:r>
          </w:p>
        </w:tc>
        <w:tc>
          <w:tcPr>
            <w:tcW w:w="4656" w:type="dxa"/>
            <w:noWrap w:val="0"/>
            <w:vAlign w:val="center"/>
          </w:tcPr>
          <w:p w14:paraId="74B1751D">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Unaddressed challenges related to ethical frameworks, ownership of AI-assisted works, academic misconduct, and research integrity in educational contexts</w:t>
            </w:r>
          </w:p>
        </w:tc>
      </w:tr>
      <w:tr w14:paraId="30585150">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70" w:type="dxa"/>
            <w:noWrap w:val="0"/>
            <w:vAlign w:val="center"/>
          </w:tcPr>
          <w:p w14:paraId="13FE4DBF">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9</w:t>
            </w:r>
          </w:p>
        </w:tc>
        <w:tc>
          <w:tcPr>
            <w:tcW w:w="869" w:type="dxa"/>
            <w:noWrap w:val="0"/>
            <w:vAlign w:val="center"/>
          </w:tcPr>
          <w:p w14:paraId="701E47C6">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C9</w:t>
            </w:r>
          </w:p>
        </w:tc>
        <w:tc>
          <w:tcPr>
            <w:tcW w:w="3434" w:type="dxa"/>
            <w:noWrap w:val="0"/>
            <w:vAlign w:val="center"/>
          </w:tcPr>
          <w:p w14:paraId="7B6B6AE3">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Inadequate research design: longitudinal/causal/career tracking</w:t>
            </w:r>
          </w:p>
        </w:tc>
        <w:tc>
          <w:tcPr>
            <w:tcW w:w="4656" w:type="dxa"/>
            <w:noWrap w:val="0"/>
            <w:vAlign w:val="center"/>
          </w:tcPr>
          <w:p w14:paraId="279FAFB9">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Overreliance on cross-sectional studies, with insufficient longitudinal research, causal inference analyses, and long-term career outcome tracking</w:t>
            </w:r>
          </w:p>
        </w:tc>
      </w:tr>
      <w:tr w14:paraId="36C3A950">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70" w:type="dxa"/>
            <w:noWrap w:val="0"/>
            <w:vAlign w:val="center"/>
          </w:tcPr>
          <w:p w14:paraId="2F7455FB">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10</w:t>
            </w:r>
          </w:p>
        </w:tc>
        <w:tc>
          <w:tcPr>
            <w:tcW w:w="869" w:type="dxa"/>
            <w:noWrap w:val="0"/>
            <w:vAlign w:val="center"/>
          </w:tcPr>
          <w:p w14:paraId="1B576693">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C10</w:t>
            </w:r>
          </w:p>
        </w:tc>
        <w:tc>
          <w:tcPr>
            <w:tcW w:w="3434" w:type="dxa"/>
            <w:noWrap w:val="0"/>
            <w:vAlign w:val="center"/>
          </w:tcPr>
          <w:p w14:paraId="4FDF5ABA">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Insufficient generalizability and evidence strength</w:t>
            </w:r>
          </w:p>
        </w:tc>
        <w:tc>
          <w:tcPr>
            <w:tcW w:w="4656" w:type="dxa"/>
            <w:noWrap w:val="0"/>
            <w:vAlign w:val="center"/>
          </w:tcPr>
          <w:p w14:paraId="1340A726">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Limitations in cultural generalizability, cross-disciplinary applicability, and lack of large-sample validation to enhance evidence robustness</w:t>
            </w:r>
          </w:p>
        </w:tc>
      </w:tr>
      <w:tr w14:paraId="31E750C5">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70" w:type="dxa"/>
            <w:noWrap w:val="0"/>
            <w:vAlign w:val="center"/>
          </w:tcPr>
          <w:p w14:paraId="19287F25">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11</w:t>
            </w:r>
          </w:p>
        </w:tc>
        <w:tc>
          <w:tcPr>
            <w:tcW w:w="869" w:type="dxa"/>
            <w:noWrap w:val="0"/>
            <w:vAlign w:val="center"/>
          </w:tcPr>
          <w:p w14:paraId="786CF953">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G1</w:t>
            </w:r>
          </w:p>
        </w:tc>
        <w:tc>
          <w:tcPr>
            <w:tcW w:w="3434" w:type="dxa"/>
            <w:noWrap w:val="0"/>
            <w:vAlign w:val="center"/>
          </w:tcPr>
          <w:p w14:paraId="3F4EF88C">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discipline-specific + stage-specific acceptance</w:t>
            </w:r>
          </w:p>
        </w:tc>
        <w:tc>
          <w:tcPr>
            <w:tcW w:w="4656" w:type="dxa"/>
            <w:noWrap w:val="0"/>
            <w:vAlign w:val="center"/>
          </w:tcPr>
          <w:p w14:paraId="33BC11F0">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Corresponding Core Variables: C1 + C2 + C5</w:t>
            </w:r>
          </w:p>
        </w:tc>
      </w:tr>
      <w:tr w14:paraId="4C85F441">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70" w:type="dxa"/>
            <w:noWrap w:val="0"/>
            <w:vAlign w:val="center"/>
          </w:tcPr>
          <w:p w14:paraId="6888D1F7">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12</w:t>
            </w:r>
          </w:p>
        </w:tc>
        <w:tc>
          <w:tcPr>
            <w:tcW w:w="869" w:type="dxa"/>
            <w:noWrap w:val="0"/>
            <w:vAlign w:val="center"/>
          </w:tcPr>
          <w:p w14:paraId="171684BB">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G2</w:t>
            </w:r>
          </w:p>
        </w:tc>
        <w:tc>
          <w:tcPr>
            <w:tcW w:w="3434" w:type="dxa"/>
            <w:noWrap w:val="0"/>
            <w:vAlign w:val="center"/>
          </w:tcPr>
          <w:p w14:paraId="5BCD5D82">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Insufficient attitudinal research + discipline-specific challenges in industrial design + inadequate qualitative studies</w:t>
            </w:r>
          </w:p>
        </w:tc>
        <w:tc>
          <w:tcPr>
            <w:tcW w:w="4656" w:type="dxa"/>
            <w:noWrap w:val="0"/>
            <w:vAlign w:val="center"/>
          </w:tcPr>
          <w:p w14:paraId="28822797">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Corresponding Core Variables: C1 + C5</w:t>
            </w:r>
          </w:p>
        </w:tc>
      </w:tr>
      <w:tr w14:paraId="0BF46FE6">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70" w:type="dxa"/>
            <w:noWrap w:val="0"/>
            <w:vAlign w:val="center"/>
          </w:tcPr>
          <w:p w14:paraId="54B67FB7">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13</w:t>
            </w:r>
          </w:p>
        </w:tc>
        <w:tc>
          <w:tcPr>
            <w:tcW w:w="869" w:type="dxa"/>
            <w:noWrap w:val="0"/>
            <w:vAlign w:val="center"/>
          </w:tcPr>
          <w:p w14:paraId="42EB4173">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G3</w:t>
            </w:r>
          </w:p>
        </w:tc>
        <w:tc>
          <w:tcPr>
            <w:tcW w:w="3434" w:type="dxa"/>
            <w:noWrap w:val="0"/>
            <w:vAlign w:val="center"/>
          </w:tcPr>
          <w:p w14:paraId="70D987E1">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Cultivation of AI skills + novice-AI interaction</w:t>
            </w:r>
          </w:p>
        </w:tc>
        <w:tc>
          <w:tcPr>
            <w:tcW w:w="4656" w:type="dxa"/>
            <w:noWrap w:val="0"/>
            <w:vAlign w:val="center"/>
          </w:tcPr>
          <w:p w14:paraId="6D74C9A8">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Corresponding Core Variables: C2 + C4 + C6</w:t>
            </w:r>
          </w:p>
        </w:tc>
      </w:tr>
      <w:tr w14:paraId="5CE2A4D4">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70" w:type="dxa"/>
            <w:noWrap w:val="0"/>
            <w:vAlign w:val="center"/>
          </w:tcPr>
          <w:p w14:paraId="33D4859E">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14</w:t>
            </w:r>
          </w:p>
        </w:tc>
        <w:tc>
          <w:tcPr>
            <w:tcW w:w="869" w:type="dxa"/>
            <w:noWrap w:val="0"/>
            <w:vAlign w:val="center"/>
          </w:tcPr>
          <w:p w14:paraId="1F29889B">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G4</w:t>
            </w:r>
          </w:p>
        </w:tc>
        <w:tc>
          <w:tcPr>
            <w:tcW w:w="3434" w:type="dxa"/>
            <w:noWrap w:val="0"/>
            <w:vAlign w:val="center"/>
          </w:tcPr>
          <w:p w14:paraId="31D3EDF6">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Insufficient studio pedagogy guidelines + protection of fundamental creative skills</w:t>
            </w:r>
          </w:p>
        </w:tc>
        <w:tc>
          <w:tcPr>
            <w:tcW w:w="4656" w:type="dxa"/>
            <w:noWrap w:val="0"/>
            <w:vAlign w:val="center"/>
          </w:tcPr>
          <w:p w14:paraId="54B2CF31">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Corresponding Core Variables: C3 + C7</w:t>
            </w:r>
          </w:p>
        </w:tc>
      </w:tr>
      <w:tr w14:paraId="228B32D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70" w:type="dxa"/>
            <w:noWrap w:val="0"/>
            <w:vAlign w:val="center"/>
          </w:tcPr>
          <w:p w14:paraId="016CDDAD">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15</w:t>
            </w:r>
          </w:p>
        </w:tc>
        <w:tc>
          <w:tcPr>
            <w:tcW w:w="869" w:type="dxa"/>
            <w:noWrap w:val="0"/>
            <w:vAlign w:val="center"/>
          </w:tcPr>
          <w:p w14:paraId="7E787B79">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G5</w:t>
            </w:r>
          </w:p>
        </w:tc>
        <w:tc>
          <w:tcPr>
            <w:tcW w:w="3434" w:type="dxa"/>
            <w:noWrap w:val="0"/>
            <w:vAlign w:val="center"/>
          </w:tcPr>
          <w:p w14:paraId="236A8172">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Abundant research on workflow/acceptability + insufficient pedagogical integration</w:t>
            </w:r>
          </w:p>
        </w:tc>
        <w:tc>
          <w:tcPr>
            <w:tcW w:w="4656" w:type="dxa"/>
            <w:noWrap w:val="0"/>
            <w:vAlign w:val="center"/>
          </w:tcPr>
          <w:p w14:paraId="6AAB8DBC">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Corresponding Core Variables: C3</w:t>
            </w:r>
          </w:p>
        </w:tc>
      </w:tr>
      <w:tr w14:paraId="502E7661">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70" w:type="dxa"/>
            <w:noWrap w:val="0"/>
            <w:vAlign w:val="center"/>
          </w:tcPr>
          <w:p w14:paraId="0D350039">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16</w:t>
            </w:r>
          </w:p>
        </w:tc>
        <w:tc>
          <w:tcPr>
            <w:tcW w:w="869" w:type="dxa"/>
            <w:noWrap w:val="0"/>
            <w:vAlign w:val="center"/>
          </w:tcPr>
          <w:p w14:paraId="61EAE3F2">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G6</w:t>
            </w:r>
          </w:p>
        </w:tc>
        <w:tc>
          <w:tcPr>
            <w:tcW w:w="3434" w:type="dxa"/>
            <w:noWrap w:val="0"/>
            <w:vAlign w:val="center"/>
          </w:tcPr>
          <w:p w14:paraId="0DA427A4">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Consistent with G3</w:t>
            </w:r>
          </w:p>
        </w:tc>
        <w:tc>
          <w:tcPr>
            <w:tcW w:w="4656" w:type="dxa"/>
            <w:noWrap w:val="0"/>
            <w:vAlign w:val="center"/>
          </w:tcPr>
          <w:p w14:paraId="2CD871B3">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Corresponding Core Variables: C2 + C4 + C6</w:t>
            </w:r>
          </w:p>
        </w:tc>
      </w:tr>
      <w:tr w14:paraId="0933BA92">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70" w:type="dxa"/>
            <w:noWrap w:val="0"/>
            <w:vAlign w:val="center"/>
          </w:tcPr>
          <w:p w14:paraId="6D9218A5">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17</w:t>
            </w:r>
          </w:p>
        </w:tc>
        <w:tc>
          <w:tcPr>
            <w:tcW w:w="869" w:type="dxa"/>
            <w:noWrap w:val="0"/>
            <w:vAlign w:val="center"/>
          </w:tcPr>
          <w:p w14:paraId="7163DD0D">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G7</w:t>
            </w:r>
          </w:p>
        </w:tc>
        <w:tc>
          <w:tcPr>
            <w:tcW w:w="3434" w:type="dxa"/>
            <w:noWrap w:val="0"/>
            <w:vAlign w:val="center"/>
          </w:tcPr>
          <w:p w14:paraId="6385ABD3">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Consistent with G3</w:t>
            </w:r>
          </w:p>
        </w:tc>
        <w:tc>
          <w:tcPr>
            <w:tcW w:w="4656" w:type="dxa"/>
            <w:noWrap w:val="0"/>
            <w:vAlign w:val="center"/>
          </w:tcPr>
          <w:p w14:paraId="380AF935">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Corresponding Core Variables: C2 + C4 + C6</w:t>
            </w:r>
          </w:p>
        </w:tc>
      </w:tr>
      <w:tr w14:paraId="54913BBD">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70" w:type="dxa"/>
            <w:noWrap w:val="0"/>
            <w:vAlign w:val="center"/>
          </w:tcPr>
          <w:p w14:paraId="6A0E65F6">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18</w:t>
            </w:r>
          </w:p>
        </w:tc>
        <w:tc>
          <w:tcPr>
            <w:tcW w:w="869" w:type="dxa"/>
            <w:noWrap w:val="0"/>
            <w:vAlign w:val="center"/>
          </w:tcPr>
          <w:p w14:paraId="078A104E">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G8</w:t>
            </w:r>
          </w:p>
        </w:tc>
        <w:tc>
          <w:tcPr>
            <w:tcW w:w="3434" w:type="dxa"/>
            <w:noWrap w:val="0"/>
            <w:vAlign w:val="center"/>
          </w:tcPr>
          <w:p w14:paraId="69CB0A03">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Insufficient research on advertising design education + impact on motivation/creative processes</w:t>
            </w:r>
          </w:p>
        </w:tc>
        <w:tc>
          <w:tcPr>
            <w:tcW w:w="4656" w:type="dxa"/>
            <w:noWrap w:val="0"/>
            <w:vAlign w:val="center"/>
          </w:tcPr>
          <w:p w14:paraId="787313E7">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Corresponding Core Variables: C1 + C7</w:t>
            </w:r>
          </w:p>
        </w:tc>
      </w:tr>
      <w:tr w14:paraId="56338D37">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70" w:type="dxa"/>
            <w:noWrap w:val="0"/>
            <w:vAlign w:val="center"/>
          </w:tcPr>
          <w:p w14:paraId="42EEA980">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19</w:t>
            </w:r>
          </w:p>
        </w:tc>
        <w:tc>
          <w:tcPr>
            <w:tcW w:w="869" w:type="dxa"/>
            <w:noWrap w:val="0"/>
            <w:vAlign w:val="center"/>
          </w:tcPr>
          <w:p w14:paraId="034279D5">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G9</w:t>
            </w:r>
          </w:p>
        </w:tc>
        <w:tc>
          <w:tcPr>
            <w:tcW w:w="3434" w:type="dxa"/>
            <w:noWrap w:val="0"/>
            <w:vAlign w:val="center"/>
          </w:tcPr>
          <w:p w14:paraId="0E333B94">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Lack of task analysis for optimal AI use in art education + AI literacy/prompt engineering training</w:t>
            </w:r>
          </w:p>
        </w:tc>
        <w:tc>
          <w:tcPr>
            <w:tcW w:w="4656" w:type="dxa"/>
            <w:noWrap w:val="0"/>
            <w:vAlign w:val="center"/>
          </w:tcPr>
          <w:p w14:paraId="062CB619">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Corresponding Core Variables: C1 + C4 + C6 (Add C3 if emphasizing "curriculum training")</w:t>
            </w:r>
          </w:p>
        </w:tc>
      </w:tr>
      <w:tr w14:paraId="2E286024">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70" w:type="dxa"/>
            <w:noWrap w:val="0"/>
            <w:vAlign w:val="center"/>
          </w:tcPr>
          <w:p w14:paraId="50FAD1B0">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20</w:t>
            </w:r>
          </w:p>
        </w:tc>
        <w:tc>
          <w:tcPr>
            <w:tcW w:w="869" w:type="dxa"/>
            <w:noWrap w:val="0"/>
            <w:vAlign w:val="center"/>
          </w:tcPr>
          <w:p w14:paraId="7D6A0018">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G10</w:t>
            </w:r>
          </w:p>
        </w:tc>
        <w:tc>
          <w:tcPr>
            <w:tcW w:w="3434" w:type="dxa"/>
            <w:noWrap w:val="0"/>
            <w:vAlign w:val="center"/>
          </w:tcPr>
          <w:p w14:paraId="0F893B75">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Dark personality × AI use + academic misconduct/integrity</w:t>
            </w:r>
          </w:p>
        </w:tc>
        <w:tc>
          <w:tcPr>
            <w:tcW w:w="4656" w:type="dxa"/>
            <w:noWrap w:val="0"/>
            <w:vAlign w:val="center"/>
          </w:tcPr>
          <w:p w14:paraId="34D5641B">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Corresponding Core Variables: C1 + C5 + C8</w:t>
            </w:r>
          </w:p>
        </w:tc>
      </w:tr>
      <w:tr w14:paraId="22155624">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70" w:type="dxa"/>
            <w:noWrap w:val="0"/>
            <w:vAlign w:val="center"/>
          </w:tcPr>
          <w:p w14:paraId="0E212356">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21</w:t>
            </w:r>
          </w:p>
        </w:tc>
        <w:tc>
          <w:tcPr>
            <w:tcW w:w="869" w:type="dxa"/>
            <w:noWrap w:val="0"/>
            <w:vAlign w:val="center"/>
          </w:tcPr>
          <w:p w14:paraId="103B8FA0">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G11</w:t>
            </w:r>
          </w:p>
        </w:tc>
        <w:tc>
          <w:tcPr>
            <w:tcW w:w="3434" w:type="dxa"/>
            <w:noWrap w:val="0"/>
            <w:vAlign w:val="center"/>
          </w:tcPr>
          <w:p w14:paraId="778BE1E8">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Impact of intervention timing on creativity + homogenization risks + interaction patterns</w:t>
            </w:r>
          </w:p>
        </w:tc>
        <w:tc>
          <w:tcPr>
            <w:tcW w:w="4656" w:type="dxa"/>
            <w:noWrap w:val="0"/>
            <w:vAlign w:val="center"/>
          </w:tcPr>
          <w:p w14:paraId="380FEFB4">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Corresponding Core Variables: C6 + C7</w:t>
            </w:r>
          </w:p>
        </w:tc>
      </w:tr>
      <w:tr w14:paraId="53724FDA">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70" w:type="dxa"/>
            <w:noWrap w:val="0"/>
            <w:vAlign w:val="center"/>
          </w:tcPr>
          <w:p w14:paraId="777C2FC7">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22</w:t>
            </w:r>
          </w:p>
        </w:tc>
        <w:tc>
          <w:tcPr>
            <w:tcW w:w="869" w:type="dxa"/>
            <w:noWrap w:val="0"/>
            <w:vAlign w:val="center"/>
          </w:tcPr>
          <w:p w14:paraId="38F99699">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G12</w:t>
            </w:r>
          </w:p>
        </w:tc>
        <w:tc>
          <w:tcPr>
            <w:tcW w:w="3434" w:type="dxa"/>
            <w:noWrap w:val="0"/>
            <w:vAlign w:val="center"/>
          </w:tcPr>
          <w:p w14:paraId="0AAAFAEE">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Longitudinal impacts + ownership/authorship + curriculum adaptation</w:t>
            </w:r>
          </w:p>
        </w:tc>
        <w:tc>
          <w:tcPr>
            <w:tcW w:w="4656" w:type="dxa"/>
            <w:noWrap w:val="0"/>
            <w:vAlign w:val="center"/>
          </w:tcPr>
          <w:p w14:paraId="3AFD50B8">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Corresponding Core Variables: C3 + C8 + C9</w:t>
            </w:r>
          </w:p>
        </w:tc>
      </w:tr>
      <w:tr w14:paraId="72424271">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70" w:type="dxa"/>
            <w:noWrap w:val="0"/>
            <w:vAlign w:val="center"/>
          </w:tcPr>
          <w:p w14:paraId="36305B54">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23</w:t>
            </w:r>
          </w:p>
        </w:tc>
        <w:tc>
          <w:tcPr>
            <w:tcW w:w="869" w:type="dxa"/>
            <w:noWrap w:val="0"/>
            <w:vAlign w:val="center"/>
          </w:tcPr>
          <w:p w14:paraId="5C0A4232">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G13</w:t>
            </w:r>
          </w:p>
        </w:tc>
        <w:tc>
          <w:tcPr>
            <w:tcW w:w="3434" w:type="dxa"/>
            <w:noWrap w:val="0"/>
            <w:vAlign w:val="center"/>
          </w:tcPr>
          <w:p w14:paraId="53345BCA">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Long-term impacts + ethical frameworks + learning style differences + interaction patterns</w:t>
            </w:r>
          </w:p>
        </w:tc>
        <w:tc>
          <w:tcPr>
            <w:tcW w:w="4656" w:type="dxa"/>
            <w:noWrap w:val="0"/>
            <w:vAlign w:val="center"/>
          </w:tcPr>
          <w:p w14:paraId="0D98F172">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Corresponding Core Variables: C5 + C6 + C7 + C8 + C9</w:t>
            </w:r>
          </w:p>
        </w:tc>
      </w:tr>
      <w:tr w14:paraId="4B3B6ECF">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70" w:type="dxa"/>
            <w:noWrap w:val="0"/>
            <w:vAlign w:val="center"/>
          </w:tcPr>
          <w:p w14:paraId="482BA288">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24</w:t>
            </w:r>
          </w:p>
        </w:tc>
        <w:tc>
          <w:tcPr>
            <w:tcW w:w="869" w:type="dxa"/>
            <w:noWrap w:val="0"/>
            <w:vAlign w:val="center"/>
          </w:tcPr>
          <w:p w14:paraId="247FA6E9">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G14</w:t>
            </w:r>
          </w:p>
        </w:tc>
        <w:tc>
          <w:tcPr>
            <w:tcW w:w="3434" w:type="dxa"/>
            <w:noWrap w:val="0"/>
            <w:vAlign w:val="center"/>
          </w:tcPr>
          <w:p w14:paraId="586EDAF9">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Need for longitudinal evaluation</w:t>
            </w:r>
          </w:p>
        </w:tc>
        <w:tc>
          <w:tcPr>
            <w:tcW w:w="4656" w:type="dxa"/>
            <w:noWrap w:val="0"/>
            <w:vAlign w:val="center"/>
          </w:tcPr>
          <w:p w14:paraId="335B4C34">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Corresponding Core Variables: C9</w:t>
            </w:r>
          </w:p>
        </w:tc>
      </w:tr>
      <w:tr w14:paraId="3F0815E8">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70" w:type="dxa"/>
            <w:noWrap w:val="0"/>
            <w:vAlign w:val="center"/>
          </w:tcPr>
          <w:p w14:paraId="647C9A3F">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25</w:t>
            </w:r>
          </w:p>
        </w:tc>
        <w:tc>
          <w:tcPr>
            <w:tcW w:w="869" w:type="dxa"/>
            <w:noWrap w:val="0"/>
            <w:vAlign w:val="center"/>
          </w:tcPr>
          <w:p w14:paraId="37390B73">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G15</w:t>
            </w:r>
          </w:p>
        </w:tc>
        <w:tc>
          <w:tcPr>
            <w:tcW w:w="3434" w:type="dxa"/>
            <w:noWrap w:val="0"/>
            <w:vAlign w:val="center"/>
          </w:tcPr>
          <w:p w14:paraId="40CE748D">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Insufficient attention to empathy/testing phases</w:t>
            </w:r>
          </w:p>
        </w:tc>
        <w:tc>
          <w:tcPr>
            <w:tcW w:w="4656" w:type="dxa"/>
            <w:noWrap w:val="0"/>
            <w:vAlign w:val="center"/>
          </w:tcPr>
          <w:p w14:paraId="5819E0C7">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Corresponding Core Variables: C7</w:t>
            </w:r>
          </w:p>
        </w:tc>
      </w:tr>
      <w:tr w14:paraId="67BF0844">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70" w:type="dxa"/>
            <w:noWrap w:val="0"/>
            <w:vAlign w:val="center"/>
          </w:tcPr>
          <w:p w14:paraId="1E1475BF">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26</w:t>
            </w:r>
          </w:p>
        </w:tc>
        <w:tc>
          <w:tcPr>
            <w:tcW w:w="869" w:type="dxa"/>
            <w:noWrap w:val="0"/>
            <w:vAlign w:val="center"/>
          </w:tcPr>
          <w:p w14:paraId="6355E80D">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G16</w:t>
            </w:r>
          </w:p>
        </w:tc>
        <w:tc>
          <w:tcPr>
            <w:tcW w:w="3434" w:type="dxa"/>
            <w:noWrap w:val="0"/>
            <w:vAlign w:val="center"/>
          </w:tcPr>
          <w:p w14:paraId="01283EF0">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Cross-sectional limitations + cultural scope</w:t>
            </w:r>
          </w:p>
        </w:tc>
        <w:tc>
          <w:tcPr>
            <w:tcW w:w="4656" w:type="dxa"/>
            <w:noWrap w:val="0"/>
            <w:vAlign w:val="center"/>
          </w:tcPr>
          <w:p w14:paraId="75C487BA">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Corresponding Core Variables: C9 + C10</w:t>
            </w:r>
          </w:p>
        </w:tc>
      </w:tr>
      <w:tr w14:paraId="0FA4F26F">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70" w:type="dxa"/>
            <w:noWrap w:val="0"/>
            <w:vAlign w:val="center"/>
          </w:tcPr>
          <w:p w14:paraId="508BFFF3">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27</w:t>
            </w:r>
          </w:p>
        </w:tc>
        <w:tc>
          <w:tcPr>
            <w:tcW w:w="869" w:type="dxa"/>
            <w:noWrap w:val="0"/>
            <w:vAlign w:val="center"/>
          </w:tcPr>
          <w:p w14:paraId="2378BA24">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G17</w:t>
            </w:r>
          </w:p>
        </w:tc>
        <w:tc>
          <w:tcPr>
            <w:tcW w:w="3434" w:type="dxa"/>
            <w:noWrap w:val="0"/>
            <w:vAlign w:val="center"/>
          </w:tcPr>
          <w:p w14:paraId="1DCDA754">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Causal inference + cultural generalizability</w:t>
            </w:r>
          </w:p>
        </w:tc>
        <w:tc>
          <w:tcPr>
            <w:tcW w:w="4656" w:type="dxa"/>
            <w:noWrap w:val="0"/>
            <w:vAlign w:val="center"/>
          </w:tcPr>
          <w:p w14:paraId="1A4EA5F1">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Corresponding Core Variables: C9 + C10</w:t>
            </w:r>
          </w:p>
        </w:tc>
      </w:tr>
      <w:tr w14:paraId="1CDCD5F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70" w:type="dxa"/>
            <w:noWrap w:val="0"/>
            <w:vAlign w:val="center"/>
          </w:tcPr>
          <w:p w14:paraId="4DCBC598">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28</w:t>
            </w:r>
          </w:p>
        </w:tc>
        <w:tc>
          <w:tcPr>
            <w:tcW w:w="869" w:type="dxa"/>
            <w:noWrap w:val="0"/>
            <w:vAlign w:val="center"/>
          </w:tcPr>
          <w:p w14:paraId="2714BC09">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G18</w:t>
            </w:r>
          </w:p>
        </w:tc>
        <w:tc>
          <w:tcPr>
            <w:tcW w:w="3434" w:type="dxa"/>
            <w:noWrap w:val="0"/>
            <w:vAlign w:val="center"/>
          </w:tcPr>
          <w:p w14:paraId="704FB14B">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Need for longitudinal career tracking</w:t>
            </w:r>
          </w:p>
        </w:tc>
        <w:tc>
          <w:tcPr>
            <w:tcW w:w="4656" w:type="dxa"/>
            <w:noWrap w:val="0"/>
            <w:vAlign w:val="center"/>
          </w:tcPr>
          <w:p w14:paraId="42BAF790">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Corresponding Core Variables: C9</w:t>
            </w:r>
          </w:p>
        </w:tc>
      </w:tr>
      <w:tr w14:paraId="398C64C9">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70" w:type="dxa"/>
            <w:noWrap w:val="0"/>
            <w:vAlign w:val="center"/>
          </w:tcPr>
          <w:p w14:paraId="04C1AE61">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29</w:t>
            </w:r>
          </w:p>
        </w:tc>
        <w:tc>
          <w:tcPr>
            <w:tcW w:w="869" w:type="dxa"/>
            <w:noWrap w:val="0"/>
            <w:vAlign w:val="center"/>
          </w:tcPr>
          <w:p w14:paraId="4878326E">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G19</w:t>
            </w:r>
          </w:p>
        </w:tc>
        <w:tc>
          <w:tcPr>
            <w:tcW w:w="3434" w:type="dxa"/>
            <w:noWrap w:val="0"/>
            <w:vAlign w:val="center"/>
          </w:tcPr>
          <w:p w14:paraId="14911BF2">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Large-sample validation requirements</w:t>
            </w:r>
          </w:p>
        </w:tc>
        <w:tc>
          <w:tcPr>
            <w:tcW w:w="4656" w:type="dxa"/>
            <w:noWrap w:val="0"/>
            <w:vAlign w:val="center"/>
          </w:tcPr>
          <w:p w14:paraId="022FD421">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Corresponding Core Variables: C10</w:t>
            </w:r>
          </w:p>
        </w:tc>
      </w:tr>
      <w:tr w14:paraId="4C7E11C4">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70" w:type="dxa"/>
            <w:noWrap w:val="0"/>
            <w:vAlign w:val="center"/>
          </w:tcPr>
          <w:p w14:paraId="677A274B">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30</w:t>
            </w:r>
          </w:p>
        </w:tc>
        <w:tc>
          <w:tcPr>
            <w:tcW w:w="869" w:type="dxa"/>
            <w:noWrap w:val="0"/>
            <w:vAlign w:val="center"/>
          </w:tcPr>
          <w:p w14:paraId="1035E0CF">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G20</w:t>
            </w:r>
          </w:p>
        </w:tc>
        <w:tc>
          <w:tcPr>
            <w:tcW w:w="3434" w:type="dxa"/>
            <w:noWrap w:val="0"/>
            <w:vAlign w:val="center"/>
          </w:tcPr>
          <w:p w14:paraId="020E3AAA">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Need for broader cross-disciplinary research</w:t>
            </w:r>
          </w:p>
        </w:tc>
        <w:tc>
          <w:tcPr>
            <w:tcW w:w="4656" w:type="dxa"/>
            <w:noWrap w:val="0"/>
            <w:vAlign w:val="center"/>
          </w:tcPr>
          <w:p w14:paraId="1A774EA1">
            <w:pPr>
              <w:keepNext w:val="0"/>
              <w:keepLines w:val="0"/>
              <w:widowControl/>
              <w:suppressLineNumbers w:val="0"/>
              <w:snapToGrid w:val="0"/>
              <w:ind w:left="0" w:leftChars="0" w:right="0" w:rightChars="0" w:firstLine="0" w:firstLineChars="0"/>
              <w:jc w:val="left"/>
              <w:textAlignment w:val="center"/>
              <w:rPr>
                <w:rFonts w:hint="default" w:ascii="Times New Roman" w:hAnsi="Times New Roman" w:eastAsia="ui-sans-serif" w:cs="Times New Roman"/>
                <w:i w:val="0"/>
                <w:iCs w:val="0"/>
                <w:color w:val="1F2329"/>
                <w:sz w:val="24"/>
                <w:szCs w:val="24"/>
                <w:u w:val="none"/>
              </w:rPr>
            </w:pPr>
            <w:r>
              <w:rPr>
                <w:rFonts w:hint="default" w:ascii="Times New Roman" w:hAnsi="Times New Roman" w:eastAsia="ui-sans-serif" w:cs="Times New Roman"/>
                <w:i w:val="0"/>
                <w:iCs w:val="0"/>
                <w:snapToGrid w:val="0"/>
                <w:color w:val="1F2329"/>
                <w:kern w:val="0"/>
                <w:sz w:val="24"/>
                <w:szCs w:val="24"/>
                <w:u w:val="none"/>
                <w:lang w:val="en-US" w:eastAsia="zh-CN" w:bidi="ar"/>
              </w:rPr>
              <w:t>Corresponding Core Variables: C10</w:t>
            </w:r>
          </w:p>
        </w:tc>
      </w:tr>
    </w:tbl>
    <w:p w14:paraId="046A377C">
      <w:pPr>
        <w:pStyle w:val="6"/>
        <w:snapToGrid/>
        <w:spacing w:before="100" w:beforeAutospacing="1" w:after="100" w:afterAutospacing="1" w:line="480" w:lineRule="auto"/>
        <w:ind w:left="11" w:hanging="420"/>
        <w:contextualSpacing/>
        <w:jc w:val="both"/>
        <w:outlineLvl w:val="2"/>
        <w:rPr>
          <w:rFonts w:hint="eastAsia" w:ascii="Times New Roman" w:hAnsi="Times New Roman" w:cs="Times New Roman"/>
          <w:b/>
          <w:bCs/>
          <w:spacing w:val="4"/>
          <w:position w:val="2"/>
          <w:sz w:val="24"/>
          <w:szCs w:val="24"/>
          <w:lang w:val="en-US" w:eastAsia="zh-CN"/>
        </w:rPr>
        <w:sectPr>
          <w:pgSz w:w="11906" w:h="16838"/>
          <w:pgMar w:top="1440" w:right="1800" w:bottom="1440" w:left="1800" w:header="851" w:footer="992" w:gutter="0"/>
          <w:cols w:space="720" w:num="1"/>
          <w:docGrid w:type="lines" w:linePitch="312" w:charSpace="0"/>
        </w:sectPr>
      </w:pPr>
    </w:p>
    <w:p w14:paraId="0440C77E">
      <w:pPr>
        <w:pStyle w:val="6"/>
        <w:snapToGrid/>
        <w:spacing w:before="100" w:beforeAutospacing="1" w:after="100" w:afterAutospacing="1" w:line="480" w:lineRule="auto"/>
        <w:ind w:left="11" w:hanging="420"/>
        <w:contextualSpacing/>
        <w:jc w:val="both"/>
        <w:outlineLvl w:val="2"/>
        <w:rPr>
          <w:rFonts w:hint="default" w:ascii="Times New Roman" w:hAnsi="Times New Roman" w:cs="Times New Roman"/>
          <w:b/>
          <w:bCs/>
          <w:spacing w:val="4"/>
          <w:position w:val="2"/>
          <w:sz w:val="24"/>
          <w:szCs w:val="24"/>
          <w:lang w:val="en-US" w:eastAsia="zh-CN"/>
        </w:rPr>
      </w:pPr>
      <w:r>
        <w:rPr>
          <w:rFonts w:hint="eastAsia" w:ascii="Times New Roman" w:hAnsi="Times New Roman" w:cs="Times New Roman"/>
          <w:b/>
          <w:bCs/>
          <w:spacing w:val="4"/>
          <w:position w:val="2"/>
          <w:sz w:val="24"/>
          <w:szCs w:val="24"/>
          <w:lang w:val="en-US" w:eastAsia="zh-CN"/>
        </w:rPr>
        <w:t>Appendix B</w:t>
      </w:r>
    </w:p>
    <w:tbl>
      <w:tblPr>
        <w:tblStyle w:val="12"/>
        <w:tblW w:w="14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7"/>
        <w:gridCol w:w="1219"/>
        <w:gridCol w:w="1981"/>
        <w:gridCol w:w="6854"/>
        <w:gridCol w:w="3783"/>
      </w:tblGrid>
      <w:tr w14:paraId="6F8C5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337" w:type="dxa"/>
            <w:tcBorders>
              <w:top w:val="single" w:color="auto" w:sz="12" w:space="0"/>
              <w:left w:val="nil"/>
              <w:bottom w:val="single" w:color="auto" w:sz="4" w:space="0"/>
              <w:right w:val="nil"/>
            </w:tcBorders>
            <w:shd w:val="clear" w:color="auto" w:fill="D7D7D7" w:themeFill="background1" w:themeFillShade="D8"/>
            <w:noWrap w:val="0"/>
            <w:vAlign w:val="center"/>
          </w:tcPr>
          <w:p w14:paraId="6A6D2F8F">
            <w:pPr>
              <w:pStyle w:val="6"/>
              <w:widowControl w:val="0"/>
              <w:snapToGrid w:val="0"/>
              <w:spacing w:before="55" w:line="240" w:lineRule="auto"/>
              <w:ind w:left="0" w:leftChars="0" w:right="0" w:rightChars="0" w:firstLine="0" w:firstLineChars="0"/>
              <w:contextualSpacing/>
              <w:jc w:val="center"/>
              <w:outlineLvl w:val="2"/>
              <w:rPr>
                <w:rFonts w:hint="default" w:ascii="Times New Roman" w:hAnsi="Times New Roman" w:cs="Times New Roman"/>
                <w:b/>
                <w:bCs/>
                <w:spacing w:val="4"/>
                <w:position w:val="2"/>
                <w:sz w:val="24"/>
                <w:szCs w:val="24"/>
                <w:vertAlign w:val="baseline"/>
                <w:lang w:eastAsia="zh-CN"/>
              </w:rPr>
            </w:pPr>
          </w:p>
        </w:tc>
        <w:tc>
          <w:tcPr>
            <w:tcW w:w="1219" w:type="dxa"/>
            <w:tcBorders>
              <w:top w:val="single" w:color="auto" w:sz="12" w:space="0"/>
              <w:left w:val="nil"/>
              <w:bottom w:val="single" w:color="auto" w:sz="4" w:space="0"/>
              <w:right w:val="nil"/>
            </w:tcBorders>
            <w:shd w:val="clear" w:color="auto" w:fill="D7D7D7" w:themeFill="background1" w:themeFillShade="D8"/>
            <w:noWrap w:val="0"/>
            <w:vAlign w:val="center"/>
          </w:tcPr>
          <w:p w14:paraId="2635CFEA">
            <w:pPr>
              <w:pStyle w:val="6"/>
              <w:widowControl w:val="0"/>
              <w:snapToGrid w:val="0"/>
              <w:spacing w:before="55" w:line="240" w:lineRule="auto"/>
              <w:ind w:left="0" w:leftChars="0" w:right="0" w:rightChars="0" w:firstLine="0" w:firstLineChars="0"/>
              <w:contextualSpacing/>
              <w:jc w:val="center"/>
              <w:outlineLvl w:val="2"/>
              <w:rPr>
                <w:rFonts w:hint="default" w:ascii="Times New Roman" w:hAnsi="Times New Roman" w:cs="Times New Roman"/>
                <w:b/>
                <w:bCs/>
                <w:spacing w:val="4"/>
                <w:position w:val="2"/>
                <w:sz w:val="24"/>
                <w:szCs w:val="24"/>
                <w:vertAlign w:val="baseline"/>
                <w:lang w:val="en-US" w:eastAsia="zh-CN"/>
              </w:rPr>
            </w:pPr>
            <w:r>
              <w:rPr>
                <w:rFonts w:hint="eastAsia" w:ascii="Times New Roman" w:hAnsi="Times New Roman" w:cs="Times New Roman"/>
                <w:b/>
                <w:bCs/>
                <w:spacing w:val="4"/>
                <w:position w:val="2"/>
                <w:sz w:val="24"/>
                <w:szCs w:val="24"/>
                <w:vertAlign w:val="baseline"/>
                <w:lang w:val="en-US" w:eastAsia="zh-CN"/>
              </w:rPr>
              <w:t>Database</w:t>
            </w:r>
          </w:p>
        </w:tc>
        <w:tc>
          <w:tcPr>
            <w:tcW w:w="1981" w:type="dxa"/>
            <w:tcBorders>
              <w:top w:val="single" w:color="auto" w:sz="12" w:space="0"/>
              <w:left w:val="nil"/>
              <w:bottom w:val="single" w:color="auto" w:sz="4" w:space="0"/>
              <w:right w:val="nil"/>
            </w:tcBorders>
            <w:shd w:val="clear" w:color="auto" w:fill="D7D7D7" w:themeFill="background1" w:themeFillShade="D8"/>
            <w:noWrap w:val="0"/>
            <w:vAlign w:val="center"/>
          </w:tcPr>
          <w:p w14:paraId="072DF649">
            <w:pPr>
              <w:pStyle w:val="6"/>
              <w:widowControl w:val="0"/>
              <w:snapToGrid w:val="0"/>
              <w:spacing w:before="55" w:line="240" w:lineRule="auto"/>
              <w:ind w:left="0" w:leftChars="0" w:right="0" w:rightChars="0" w:firstLine="0" w:firstLineChars="0"/>
              <w:contextualSpacing/>
              <w:jc w:val="center"/>
              <w:outlineLvl w:val="2"/>
              <w:rPr>
                <w:rFonts w:hint="default" w:ascii="Times New Roman" w:hAnsi="Times New Roman" w:cs="Times New Roman"/>
                <w:b/>
                <w:bCs/>
                <w:spacing w:val="4"/>
                <w:position w:val="2"/>
                <w:sz w:val="24"/>
                <w:szCs w:val="24"/>
                <w:vertAlign w:val="baseline"/>
                <w:lang w:eastAsia="zh-CN"/>
              </w:rPr>
            </w:pPr>
            <w:r>
              <w:rPr>
                <w:rFonts w:hint="default" w:ascii="Times New Roman" w:hAnsi="Times New Roman" w:cs="Times New Roman"/>
                <w:b/>
                <w:bCs/>
                <w:spacing w:val="4"/>
                <w:position w:val="2"/>
                <w:sz w:val="24"/>
                <w:szCs w:val="24"/>
                <w:vertAlign w:val="baseline"/>
                <w:lang w:eastAsia="zh-CN"/>
              </w:rPr>
              <w:t>Retrieval Date</w:t>
            </w:r>
          </w:p>
        </w:tc>
        <w:tc>
          <w:tcPr>
            <w:tcW w:w="6854" w:type="dxa"/>
            <w:tcBorders>
              <w:top w:val="single" w:color="auto" w:sz="12" w:space="0"/>
              <w:left w:val="nil"/>
              <w:bottom w:val="single" w:color="auto" w:sz="4" w:space="0"/>
              <w:right w:val="nil"/>
            </w:tcBorders>
            <w:shd w:val="clear" w:color="auto" w:fill="D7D7D7" w:themeFill="background1" w:themeFillShade="D8"/>
            <w:noWrap w:val="0"/>
            <w:vAlign w:val="center"/>
          </w:tcPr>
          <w:p w14:paraId="7D6DF7C3">
            <w:pPr>
              <w:pStyle w:val="6"/>
              <w:widowControl w:val="0"/>
              <w:snapToGrid w:val="0"/>
              <w:spacing w:before="55" w:line="240" w:lineRule="auto"/>
              <w:ind w:left="0" w:leftChars="0" w:right="0" w:rightChars="0" w:firstLine="0" w:firstLineChars="0"/>
              <w:contextualSpacing/>
              <w:jc w:val="center"/>
              <w:outlineLvl w:val="2"/>
              <w:rPr>
                <w:rFonts w:hint="default" w:ascii="Times New Roman" w:hAnsi="Times New Roman" w:cs="Times New Roman"/>
                <w:b/>
                <w:bCs/>
                <w:spacing w:val="4"/>
                <w:position w:val="2"/>
                <w:sz w:val="24"/>
                <w:szCs w:val="24"/>
                <w:vertAlign w:val="baseline"/>
                <w:lang w:eastAsia="zh-CN"/>
              </w:rPr>
            </w:pPr>
            <w:r>
              <w:rPr>
                <w:rFonts w:hint="default" w:ascii="Times New Roman" w:hAnsi="Times New Roman" w:cs="Times New Roman"/>
                <w:b/>
                <w:bCs/>
                <w:spacing w:val="4"/>
                <w:position w:val="2"/>
                <w:sz w:val="24"/>
                <w:szCs w:val="24"/>
                <w:vertAlign w:val="baseline"/>
                <w:lang w:eastAsia="zh-CN"/>
              </w:rPr>
              <w:t>Search String</w:t>
            </w:r>
          </w:p>
        </w:tc>
        <w:tc>
          <w:tcPr>
            <w:tcW w:w="3783" w:type="dxa"/>
            <w:tcBorders>
              <w:top w:val="single" w:color="auto" w:sz="12" w:space="0"/>
              <w:left w:val="nil"/>
              <w:bottom w:val="single" w:color="auto" w:sz="4" w:space="0"/>
              <w:right w:val="nil"/>
            </w:tcBorders>
            <w:shd w:val="clear" w:color="auto" w:fill="D7D7D7" w:themeFill="background1" w:themeFillShade="D8"/>
            <w:noWrap w:val="0"/>
            <w:vAlign w:val="center"/>
          </w:tcPr>
          <w:p w14:paraId="13F0C059">
            <w:pPr>
              <w:pStyle w:val="6"/>
              <w:widowControl w:val="0"/>
              <w:snapToGrid w:val="0"/>
              <w:spacing w:before="55" w:line="240" w:lineRule="auto"/>
              <w:ind w:left="0" w:leftChars="0" w:right="0" w:rightChars="0" w:firstLine="0" w:firstLineChars="0"/>
              <w:contextualSpacing/>
              <w:jc w:val="center"/>
              <w:outlineLvl w:val="2"/>
              <w:rPr>
                <w:rFonts w:hint="default" w:ascii="Times New Roman" w:hAnsi="Times New Roman" w:cs="Times New Roman"/>
                <w:b/>
                <w:bCs/>
                <w:spacing w:val="4"/>
                <w:position w:val="2"/>
                <w:sz w:val="24"/>
                <w:szCs w:val="24"/>
                <w:vertAlign w:val="baseline"/>
                <w:lang w:eastAsia="zh-CN"/>
              </w:rPr>
            </w:pPr>
            <w:r>
              <w:rPr>
                <w:rFonts w:hint="default" w:ascii="Times New Roman" w:hAnsi="Times New Roman" w:cs="Times New Roman"/>
                <w:b/>
                <w:bCs/>
                <w:spacing w:val="4"/>
                <w:position w:val="2"/>
                <w:sz w:val="24"/>
                <w:szCs w:val="24"/>
                <w:vertAlign w:val="baseline"/>
                <w:lang w:eastAsia="zh-CN"/>
              </w:rPr>
              <w:t>Additional Restrictions</w:t>
            </w:r>
          </w:p>
        </w:tc>
      </w:tr>
      <w:tr w14:paraId="54A7A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37" w:type="dxa"/>
            <w:tcBorders>
              <w:top w:val="single" w:color="auto" w:sz="4" w:space="0"/>
              <w:left w:val="nil"/>
              <w:bottom w:val="nil"/>
              <w:right w:val="nil"/>
            </w:tcBorders>
            <w:noWrap w:val="0"/>
            <w:vAlign w:val="center"/>
          </w:tcPr>
          <w:p w14:paraId="54C63050">
            <w:pPr>
              <w:pStyle w:val="6"/>
              <w:widowControl w:val="0"/>
              <w:snapToGrid w:val="0"/>
              <w:spacing w:before="55" w:line="240" w:lineRule="auto"/>
              <w:ind w:left="0" w:leftChars="0" w:right="0" w:rightChars="0" w:firstLine="0" w:firstLineChars="0"/>
              <w:contextualSpacing/>
              <w:jc w:val="center"/>
              <w:outlineLvl w:val="2"/>
              <w:rPr>
                <w:rFonts w:hint="default" w:ascii="Times New Roman" w:hAnsi="Times New Roman" w:eastAsia="Calibri" w:cs="Times New Roman"/>
                <w:b/>
                <w:bCs/>
                <w:spacing w:val="4"/>
                <w:position w:val="2"/>
                <w:sz w:val="20"/>
                <w:szCs w:val="24"/>
                <w:vertAlign w:val="baseline"/>
                <w:lang w:val="en-US" w:eastAsia="zh-CN"/>
              </w:rPr>
            </w:pPr>
            <w:r>
              <w:rPr>
                <w:rFonts w:hint="eastAsia" w:ascii="Times New Roman" w:hAnsi="Times New Roman" w:eastAsia="Calibri" w:cs="Times New Roman"/>
                <w:b/>
                <w:bCs/>
                <w:spacing w:val="4"/>
                <w:position w:val="2"/>
                <w:sz w:val="20"/>
                <w:szCs w:val="24"/>
                <w:vertAlign w:val="baseline"/>
                <w:lang w:val="en-US" w:eastAsia="zh-CN"/>
              </w:rPr>
              <w:t>1</w:t>
            </w:r>
          </w:p>
        </w:tc>
        <w:tc>
          <w:tcPr>
            <w:tcW w:w="1219" w:type="dxa"/>
            <w:tcBorders>
              <w:top w:val="single" w:color="auto" w:sz="4" w:space="0"/>
              <w:left w:val="nil"/>
              <w:bottom w:val="nil"/>
              <w:right w:val="nil"/>
            </w:tcBorders>
            <w:noWrap w:val="0"/>
            <w:vAlign w:val="center"/>
          </w:tcPr>
          <w:p w14:paraId="135DF824">
            <w:pPr>
              <w:pStyle w:val="6"/>
              <w:widowControl w:val="0"/>
              <w:snapToGrid w:val="0"/>
              <w:spacing w:before="55" w:line="240" w:lineRule="auto"/>
              <w:ind w:left="0" w:leftChars="0" w:right="0" w:rightChars="0" w:firstLine="0" w:firstLineChars="0"/>
              <w:contextualSpacing/>
              <w:jc w:val="left"/>
              <w:outlineLvl w:val="2"/>
              <w:rPr>
                <w:rFonts w:hint="default" w:ascii="Times New Roman" w:hAnsi="Times New Roman" w:eastAsia="Calibri" w:cs="Times New Roman"/>
                <w:b/>
                <w:bCs/>
                <w:spacing w:val="4"/>
                <w:position w:val="2"/>
                <w:sz w:val="20"/>
                <w:szCs w:val="24"/>
                <w:vertAlign w:val="baseline"/>
                <w:lang w:eastAsia="zh-CN"/>
              </w:rPr>
            </w:pPr>
            <w:r>
              <w:rPr>
                <w:rFonts w:hint="default" w:ascii="Times New Roman" w:hAnsi="Times New Roman" w:eastAsia="Calibri" w:cs="Times New Roman"/>
                <w:b w:val="0"/>
                <w:bCs w:val="0"/>
                <w:spacing w:val="4"/>
                <w:position w:val="2"/>
                <w:sz w:val="20"/>
                <w:szCs w:val="24"/>
                <w:vertAlign w:val="baseline"/>
                <w:lang w:eastAsia="zh-CN"/>
              </w:rPr>
              <w:t>Web of Science</w:t>
            </w:r>
          </w:p>
        </w:tc>
        <w:tc>
          <w:tcPr>
            <w:tcW w:w="1981" w:type="dxa"/>
            <w:tcBorders>
              <w:top w:val="single" w:color="auto" w:sz="4" w:space="0"/>
              <w:left w:val="nil"/>
              <w:bottom w:val="nil"/>
              <w:right w:val="nil"/>
            </w:tcBorders>
            <w:noWrap w:val="0"/>
            <w:vAlign w:val="center"/>
          </w:tcPr>
          <w:p w14:paraId="3DA3E736">
            <w:pPr>
              <w:pStyle w:val="6"/>
              <w:widowControl w:val="0"/>
              <w:snapToGrid w:val="0"/>
              <w:spacing w:before="55" w:line="240" w:lineRule="auto"/>
              <w:ind w:left="0" w:leftChars="0" w:right="0" w:rightChars="0" w:firstLine="0" w:firstLineChars="0"/>
              <w:contextualSpacing/>
              <w:jc w:val="center"/>
              <w:outlineLvl w:val="2"/>
              <w:rPr>
                <w:rFonts w:hint="default" w:ascii="Times New Roman" w:hAnsi="Times New Roman" w:eastAsia="Calibri" w:cs="Times New Roman"/>
                <w:b/>
                <w:bCs/>
                <w:spacing w:val="4"/>
                <w:position w:val="2"/>
                <w:sz w:val="20"/>
                <w:szCs w:val="24"/>
                <w:vertAlign w:val="baseline"/>
                <w:lang w:val="en-US" w:eastAsia="zh-CN"/>
              </w:rPr>
            </w:pPr>
            <w:r>
              <w:rPr>
                <w:rFonts w:hint="eastAsia" w:ascii="Times New Roman" w:hAnsi="Times New Roman" w:eastAsia="Calibri" w:cs="Times New Roman"/>
                <w:b w:val="0"/>
                <w:bCs w:val="0"/>
                <w:spacing w:val="4"/>
                <w:position w:val="2"/>
                <w:sz w:val="20"/>
                <w:szCs w:val="24"/>
                <w:vertAlign w:val="baseline"/>
                <w:lang w:val="en-US" w:eastAsia="zh-CN"/>
              </w:rPr>
              <w:t>2025/12</w:t>
            </w:r>
          </w:p>
        </w:tc>
        <w:tc>
          <w:tcPr>
            <w:tcW w:w="6854" w:type="dxa"/>
            <w:tcBorders>
              <w:top w:val="single" w:color="auto" w:sz="4" w:space="0"/>
              <w:left w:val="nil"/>
              <w:bottom w:val="nil"/>
              <w:right w:val="nil"/>
            </w:tcBorders>
            <w:noWrap w:val="0"/>
            <w:vAlign w:val="center"/>
          </w:tcPr>
          <w:p w14:paraId="722A9A15">
            <w:pPr>
              <w:pStyle w:val="6"/>
              <w:widowControl w:val="0"/>
              <w:snapToGrid w:val="0"/>
              <w:spacing w:before="55" w:line="240" w:lineRule="auto"/>
              <w:ind w:left="0" w:leftChars="0" w:right="0" w:rightChars="0" w:firstLine="0" w:firstLineChars="0"/>
              <w:contextualSpacing/>
              <w:jc w:val="left"/>
              <w:outlineLvl w:val="2"/>
              <w:rPr>
                <w:rFonts w:hint="default" w:ascii="Times New Roman" w:hAnsi="Times New Roman" w:eastAsia="Calibri" w:cs="Times New Roman"/>
                <w:b/>
                <w:bCs/>
                <w:spacing w:val="4"/>
                <w:position w:val="2"/>
                <w:sz w:val="20"/>
                <w:szCs w:val="24"/>
                <w:vertAlign w:val="baseline"/>
                <w:lang w:eastAsia="zh-CN"/>
              </w:rPr>
            </w:pPr>
            <w:r>
              <w:rPr>
                <w:rFonts w:hint="default" w:ascii="Times New Roman" w:hAnsi="Times New Roman" w:eastAsia="Calibri" w:cs="Times New Roman"/>
                <w:i/>
                <w:iCs/>
                <w:spacing w:val="4"/>
                <w:position w:val="2"/>
                <w:sz w:val="20"/>
                <w:szCs w:val="20"/>
                <w:lang w:eastAsia="zh-CN"/>
              </w:rPr>
              <w:t>TS=( ( "art student*" OR "design student*" OR "art education" OR "design education" ) AND ("generative AI" OR "AI art tool*" OR "text-to-image" OR "ChatGPT" OR "DALL-E") )</w:t>
            </w:r>
          </w:p>
        </w:tc>
        <w:tc>
          <w:tcPr>
            <w:tcW w:w="3783" w:type="dxa"/>
            <w:tcBorders>
              <w:top w:val="single" w:color="auto" w:sz="4" w:space="0"/>
              <w:left w:val="nil"/>
              <w:bottom w:val="nil"/>
              <w:right w:val="nil"/>
            </w:tcBorders>
            <w:noWrap w:val="0"/>
            <w:vAlign w:val="center"/>
          </w:tcPr>
          <w:p w14:paraId="77540216">
            <w:pPr>
              <w:pStyle w:val="6"/>
              <w:widowControl w:val="0"/>
              <w:snapToGrid w:val="0"/>
              <w:spacing w:before="55" w:line="240" w:lineRule="auto"/>
              <w:ind w:left="0" w:leftChars="0" w:right="0" w:rightChars="0" w:firstLine="0" w:firstLineChars="0"/>
              <w:contextualSpacing/>
              <w:jc w:val="left"/>
              <w:outlineLvl w:val="2"/>
              <w:rPr>
                <w:rFonts w:hint="default" w:ascii="Times New Roman" w:hAnsi="Times New Roman" w:eastAsia="Calibri" w:cs="Times New Roman"/>
                <w:b/>
                <w:bCs/>
                <w:spacing w:val="4"/>
                <w:position w:val="2"/>
                <w:sz w:val="20"/>
                <w:szCs w:val="24"/>
                <w:vertAlign w:val="baseline"/>
                <w:lang w:val="en-US" w:eastAsia="zh-CN"/>
              </w:rPr>
            </w:pPr>
            <w:r>
              <w:rPr>
                <w:rFonts w:hint="eastAsia" w:ascii="Times New Roman" w:hAnsi="Times New Roman" w:eastAsia="Calibri" w:cs="Times New Roman"/>
                <w:i w:val="0"/>
                <w:iCs w:val="0"/>
                <w:spacing w:val="4"/>
                <w:position w:val="2"/>
                <w:sz w:val="20"/>
                <w:szCs w:val="24"/>
                <w:lang w:val="en-US" w:eastAsia="zh-CN"/>
              </w:rPr>
              <w:t>English</w:t>
            </w:r>
          </w:p>
        </w:tc>
      </w:tr>
      <w:tr w14:paraId="4163D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37" w:type="dxa"/>
            <w:tcBorders>
              <w:top w:val="nil"/>
              <w:left w:val="nil"/>
              <w:bottom w:val="nil"/>
              <w:right w:val="nil"/>
            </w:tcBorders>
            <w:noWrap w:val="0"/>
            <w:vAlign w:val="center"/>
          </w:tcPr>
          <w:p w14:paraId="09E31978">
            <w:pPr>
              <w:pStyle w:val="6"/>
              <w:widowControl w:val="0"/>
              <w:snapToGrid w:val="0"/>
              <w:spacing w:before="55" w:line="240" w:lineRule="auto"/>
              <w:ind w:left="0" w:leftChars="0" w:right="0" w:rightChars="0" w:firstLine="0" w:firstLineChars="0"/>
              <w:contextualSpacing/>
              <w:jc w:val="center"/>
              <w:outlineLvl w:val="2"/>
              <w:rPr>
                <w:rFonts w:hint="default" w:ascii="Times New Roman" w:hAnsi="Times New Roman" w:eastAsia="Calibri" w:cs="Times New Roman"/>
                <w:b/>
                <w:bCs/>
                <w:spacing w:val="4"/>
                <w:position w:val="2"/>
                <w:sz w:val="20"/>
                <w:szCs w:val="24"/>
                <w:vertAlign w:val="baseline"/>
                <w:lang w:val="en-US" w:eastAsia="zh-CN"/>
              </w:rPr>
            </w:pPr>
            <w:r>
              <w:rPr>
                <w:rFonts w:hint="eastAsia" w:ascii="Times New Roman" w:hAnsi="Times New Roman" w:eastAsia="Calibri" w:cs="Times New Roman"/>
                <w:b/>
                <w:bCs/>
                <w:spacing w:val="4"/>
                <w:position w:val="2"/>
                <w:sz w:val="20"/>
                <w:szCs w:val="24"/>
                <w:vertAlign w:val="baseline"/>
                <w:lang w:val="en-US" w:eastAsia="zh-CN"/>
              </w:rPr>
              <w:t>2</w:t>
            </w:r>
          </w:p>
        </w:tc>
        <w:tc>
          <w:tcPr>
            <w:tcW w:w="1219" w:type="dxa"/>
            <w:tcBorders>
              <w:top w:val="nil"/>
              <w:left w:val="nil"/>
              <w:bottom w:val="nil"/>
              <w:right w:val="nil"/>
            </w:tcBorders>
            <w:noWrap w:val="0"/>
            <w:vAlign w:val="center"/>
          </w:tcPr>
          <w:p w14:paraId="73D3AEB6">
            <w:pPr>
              <w:pStyle w:val="6"/>
              <w:widowControl w:val="0"/>
              <w:snapToGrid w:val="0"/>
              <w:spacing w:before="55" w:line="240" w:lineRule="auto"/>
              <w:ind w:left="0" w:leftChars="0" w:right="0" w:rightChars="0" w:firstLine="0" w:firstLineChars="0"/>
              <w:contextualSpacing/>
              <w:jc w:val="left"/>
              <w:outlineLvl w:val="2"/>
              <w:rPr>
                <w:rFonts w:hint="default" w:ascii="Times New Roman" w:hAnsi="Times New Roman" w:eastAsia="Calibri" w:cs="Times New Roman"/>
                <w:b w:val="0"/>
                <w:bCs w:val="0"/>
                <w:spacing w:val="4"/>
                <w:position w:val="2"/>
                <w:sz w:val="20"/>
                <w:szCs w:val="24"/>
                <w:vertAlign w:val="baseline"/>
                <w:lang w:eastAsia="zh-CN"/>
              </w:rPr>
            </w:pPr>
            <w:r>
              <w:rPr>
                <w:rFonts w:hint="default" w:ascii="Times New Roman" w:hAnsi="Times New Roman" w:eastAsia="Calibri" w:cs="Times New Roman"/>
                <w:b w:val="0"/>
                <w:bCs w:val="0"/>
                <w:spacing w:val="4"/>
                <w:position w:val="2"/>
                <w:sz w:val="20"/>
                <w:szCs w:val="24"/>
                <w:vertAlign w:val="baseline"/>
                <w:lang w:eastAsia="zh-CN"/>
              </w:rPr>
              <w:t>Scopus</w:t>
            </w:r>
          </w:p>
        </w:tc>
        <w:tc>
          <w:tcPr>
            <w:tcW w:w="1981" w:type="dxa"/>
            <w:tcBorders>
              <w:top w:val="nil"/>
              <w:left w:val="nil"/>
              <w:bottom w:val="nil"/>
              <w:right w:val="nil"/>
            </w:tcBorders>
            <w:noWrap w:val="0"/>
            <w:vAlign w:val="center"/>
          </w:tcPr>
          <w:p w14:paraId="064A4DB2">
            <w:pPr>
              <w:pStyle w:val="6"/>
              <w:widowControl w:val="0"/>
              <w:snapToGrid w:val="0"/>
              <w:spacing w:before="55" w:line="240" w:lineRule="auto"/>
              <w:ind w:left="0" w:leftChars="0" w:right="0" w:rightChars="0" w:firstLine="0" w:firstLineChars="0"/>
              <w:contextualSpacing/>
              <w:jc w:val="center"/>
              <w:outlineLvl w:val="2"/>
              <w:rPr>
                <w:rFonts w:hint="default" w:ascii="Times New Roman" w:hAnsi="Times New Roman" w:eastAsia="Calibri" w:cs="Times New Roman"/>
                <w:b w:val="0"/>
                <w:bCs w:val="0"/>
                <w:spacing w:val="4"/>
                <w:position w:val="2"/>
                <w:sz w:val="20"/>
                <w:szCs w:val="24"/>
                <w:vertAlign w:val="baseline"/>
                <w:lang w:eastAsia="zh-CN"/>
              </w:rPr>
            </w:pPr>
            <w:r>
              <w:rPr>
                <w:rFonts w:hint="eastAsia" w:ascii="Times New Roman" w:hAnsi="Times New Roman" w:eastAsia="Calibri" w:cs="Times New Roman"/>
                <w:b w:val="0"/>
                <w:bCs w:val="0"/>
                <w:spacing w:val="4"/>
                <w:position w:val="2"/>
                <w:sz w:val="20"/>
                <w:szCs w:val="24"/>
                <w:vertAlign w:val="baseline"/>
                <w:lang w:val="en-US" w:eastAsia="zh-CN"/>
              </w:rPr>
              <w:t>2025/12</w:t>
            </w:r>
          </w:p>
        </w:tc>
        <w:tc>
          <w:tcPr>
            <w:tcW w:w="6854" w:type="dxa"/>
            <w:tcBorders>
              <w:top w:val="nil"/>
              <w:left w:val="nil"/>
              <w:bottom w:val="nil"/>
              <w:right w:val="nil"/>
            </w:tcBorders>
            <w:noWrap w:val="0"/>
            <w:vAlign w:val="center"/>
          </w:tcPr>
          <w:p w14:paraId="10CCDC98">
            <w:pPr>
              <w:pStyle w:val="6"/>
              <w:widowControl w:val="0"/>
              <w:snapToGrid w:val="0"/>
              <w:spacing w:before="55" w:line="240" w:lineRule="auto"/>
              <w:ind w:left="0" w:leftChars="0" w:right="0" w:rightChars="0" w:firstLine="0" w:firstLineChars="0"/>
              <w:contextualSpacing/>
              <w:jc w:val="left"/>
              <w:outlineLvl w:val="2"/>
              <w:rPr>
                <w:rFonts w:hint="default" w:ascii="Times New Roman" w:hAnsi="Times New Roman" w:eastAsia="Calibri" w:cs="Times New Roman"/>
                <w:b/>
                <w:bCs/>
                <w:spacing w:val="4"/>
                <w:position w:val="2"/>
                <w:sz w:val="20"/>
                <w:szCs w:val="24"/>
                <w:vertAlign w:val="baseline"/>
                <w:lang w:eastAsia="zh-CN"/>
              </w:rPr>
            </w:pPr>
            <w:r>
              <w:rPr>
                <w:rFonts w:hint="default" w:ascii="Times New Roman" w:hAnsi="Times New Roman" w:eastAsia="Calibri" w:cs="Times New Roman"/>
                <w:i/>
                <w:iCs/>
                <w:spacing w:val="4"/>
                <w:position w:val="2"/>
                <w:sz w:val="20"/>
                <w:szCs w:val="20"/>
                <w:lang w:eastAsia="zh-CN"/>
              </w:rPr>
              <w:t>( TITLE-ABS-KEY ( "art student*" OR "design student*" OR "visual arts" ) AND TITLE-ABS-KEY ( "higher education" OR "undergraduate" ) AND TITLE-ABS-KEY ( "generative ai" ) ) AND TITLE-ABS-KEY ( "anxiety" OR "threat" OR "technostress" )</w:t>
            </w:r>
          </w:p>
        </w:tc>
        <w:tc>
          <w:tcPr>
            <w:tcW w:w="3783" w:type="dxa"/>
            <w:tcBorders>
              <w:top w:val="nil"/>
              <w:left w:val="nil"/>
              <w:bottom w:val="nil"/>
              <w:right w:val="nil"/>
            </w:tcBorders>
            <w:noWrap w:val="0"/>
            <w:vAlign w:val="center"/>
          </w:tcPr>
          <w:p w14:paraId="2FA89520">
            <w:pPr>
              <w:pStyle w:val="6"/>
              <w:widowControl w:val="0"/>
              <w:snapToGrid w:val="0"/>
              <w:spacing w:before="55" w:line="240" w:lineRule="auto"/>
              <w:ind w:left="0" w:leftChars="0" w:right="0" w:rightChars="0" w:firstLine="0" w:firstLineChars="0"/>
              <w:contextualSpacing/>
              <w:jc w:val="left"/>
              <w:outlineLvl w:val="2"/>
              <w:rPr>
                <w:rFonts w:hint="default" w:ascii="Times New Roman" w:hAnsi="Times New Roman" w:eastAsia="Calibri" w:cs="Times New Roman"/>
                <w:b/>
                <w:bCs/>
                <w:spacing w:val="4"/>
                <w:position w:val="2"/>
                <w:sz w:val="20"/>
                <w:szCs w:val="24"/>
                <w:vertAlign w:val="baseline"/>
                <w:lang w:eastAsia="zh-CN"/>
              </w:rPr>
            </w:pPr>
            <w:r>
              <w:rPr>
                <w:rFonts w:hint="eastAsia" w:ascii="Times New Roman" w:hAnsi="Times New Roman" w:eastAsia="Calibri" w:cs="Times New Roman"/>
                <w:i w:val="0"/>
                <w:iCs w:val="0"/>
                <w:spacing w:val="4"/>
                <w:position w:val="2"/>
                <w:sz w:val="20"/>
                <w:szCs w:val="24"/>
                <w:lang w:val="en-US" w:eastAsia="zh-CN"/>
              </w:rPr>
              <w:t>English</w:t>
            </w:r>
          </w:p>
        </w:tc>
      </w:tr>
      <w:tr w14:paraId="1126E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37" w:type="dxa"/>
            <w:tcBorders>
              <w:top w:val="nil"/>
              <w:left w:val="nil"/>
              <w:bottom w:val="single" w:color="auto" w:sz="12" w:space="0"/>
              <w:right w:val="nil"/>
            </w:tcBorders>
            <w:noWrap w:val="0"/>
            <w:vAlign w:val="center"/>
          </w:tcPr>
          <w:p w14:paraId="4AAB26FC">
            <w:pPr>
              <w:pStyle w:val="6"/>
              <w:widowControl w:val="0"/>
              <w:snapToGrid w:val="0"/>
              <w:spacing w:before="55" w:line="240" w:lineRule="auto"/>
              <w:ind w:left="0" w:leftChars="0" w:right="0" w:rightChars="0" w:firstLine="0" w:firstLineChars="0"/>
              <w:contextualSpacing/>
              <w:jc w:val="center"/>
              <w:outlineLvl w:val="2"/>
              <w:rPr>
                <w:rFonts w:hint="default" w:ascii="Times New Roman" w:hAnsi="Times New Roman" w:eastAsia="Calibri" w:cs="Times New Roman"/>
                <w:b/>
                <w:bCs/>
                <w:spacing w:val="4"/>
                <w:position w:val="2"/>
                <w:sz w:val="20"/>
                <w:szCs w:val="24"/>
                <w:vertAlign w:val="baseline"/>
                <w:lang w:val="en-US" w:eastAsia="zh-CN"/>
              </w:rPr>
            </w:pPr>
            <w:r>
              <w:rPr>
                <w:rFonts w:hint="eastAsia" w:ascii="Times New Roman" w:hAnsi="Times New Roman" w:eastAsia="Calibri" w:cs="Times New Roman"/>
                <w:b/>
                <w:bCs/>
                <w:spacing w:val="4"/>
                <w:position w:val="2"/>
                <w:sz w:val="20"/>
                <w:szCs w:val="24"/>
                <w:vertAlign w:val="baseline"/>
                <w:lang w:val="en-US" w:eastAsia="zh-CN"/>
              </w:rPr>
              <w:t>3</w:t>
            </w:r>
          </w:p>
        </w:tc>
        <w:tc>
          <w:tcPr>
            <w:tcW w:w="1219" w:type="dxa"/>
            <w:tcBorders>
              <w:top w:val="nil"/>
              <w:left w:val="nil"/>
              <w:bottom w:val="single" w:color="auto" w:sz="12" w:space="0"/>
              <w:right w:val="nil"/>
            </w:tcBorders>
            <w:noWrap w:val="0"/>
            <w:vAlign w:val="center"/>
          </w:tcPr>
          <w:p w14:paraId="1C662DA2">
            <w:pPr>
              <w:pStyle w:val="6"/>
              <w:widowControl w:val="0"/>
              <w:snapToGrid w:val="0"/>
              <w:spacing w:before="55" w:line="240" w:lineRule="auto"/>
              <w:ind w:left="0" w:leftChars="0" w:right="0" w:rightChars="0" w:firstLine="0" w:firstLineChars="0"/>
              <w:contextualSpacing/>
              <w:jc w:val="left"/>
              <w:outlineLvl w:val="2"/>
              <w:rPr>
                <w:rFonts w:hint="default" w:ascii="Times New Roman" w:hAnsi="Times New Roman" w:eastAsia="Calibri" w:cs="Times New Roman"/>
                <w:b w:val="0"/>
                <w:bCs w:val="0"/>
                <w:spacing w:val="4"/>
                <w:position w:val="2"/>
                <w:sz w:val="20"/>
                <w:szCs w:val="24"/>
                <w:vertAlign w:val="baseline"/>
                <w:lang w:eastAsia="zh-CN"/>
              </w:rPr>
            </w:pPr>
            <w:r>
              <w:rPr>
                <w:rFonts w:hint="default" w:ascii="Times New Roman" w:hAnsi="Times New Roman" w:eastAsia="Calibri" w:cs="Times New Roman"/>
                <w:b w:val="0"/>
                <w:bCs w:val="0"/>
                <w:spacing w:val="4"/>
                <w:position w:val="2"/>
                <w:sz w:val="20"/>
                <w:szCs w:val="24"/>
                <w:vertAlign w:val="baseline"/>
                <w:lang w:eastAsia="zh-CN"/>
              </w:rPr>
              <w:t>IEEE Xplore</w:t>
            </w:r>
          </w:p>
        </w:tc>
        <w:tc>
          <w:tcPr>
            <w:tcW w:w="1981" w:type="dxa"/>
            <w:tcBorders>
              <w:top w:val="nil"/>
              <w:left w:val="nil"/>
              <w:bottom w:val="single" w:color="auto" w:sz="12" w:space="0"/>
              <w:right w:val="nil"/>
            </w:tcBorders>
            <w:noWrap w:val="0"/>
            <w:vAlign w:val="center"/>
          </w:tcPr>
          <w:p w14:paraId="1A0C098E">
            <w:pPr>
              <w:pStyle w:val="6"/>
              <w:widowControl w:val="0"/>
              <w:snapToGrid w:val="0"/>
              <w:spacing w:before="55" w:line="240" w:lineRule="auto"/>
              <w:ind w:left="0" w:leftChars="0" w:right="0" w:rightChars="0" w:firstLine="0" w:firstLineChars="0"/>
              <w:contextualSpacing/>
              <w:jc w:val="center"/>
              <w:outlineLvl w:val="2"/>
              <w:rPr>
                <w:rFonts w:hint="default" w:ascii="Times New Roman" w:hAnsi="Times New Roman" w:eastAsia="Calibri" w:cs="Times New Roman"/>
                <w:b w:val="0"/>
                <w:bCs w:val="0"/>
                <w:spacing w:val="4"/>
                <w:position w:val="2"/>
                <w:sz w:val="20"/>
                <w:szCs w:val="24"/>
                <w:vertAlign w:val="baseline"/>
                <w:lang w:eastAsia="zh-CN"/>
              </w:rPr>
            </w:pPr>
            <w:r>
              <w:rPr>
                <w:rFonts w:hint="eastAsia" w:ascii="Times New Roman" w:hAnsi="Times New Roman" w:eastAsia="Calibri" w:cs="Times New Roman"/>
                <w:b w:val="0"/>
                <w:bCs w:val="0"/>
                <w:spacing w:val="4"/>
                <w:position w:val="2"/>
                <w:sz w:val="20"/>
                <w:szCs w:val="24"/>
                <w:vertAlign w:val="baseline"/>
                <w:lang w:val="en-US" w:eastAsia="zh-CN"/>
              </w:rPr>
              <w:t>2025/12</w:t>
            </w:r>
          </w:p>
        </w:tc>
        <w:tc>
          <w:tcPr>
            <w:tcW w:w="6854" w:type="dxa"/>
            <w:tcBorders>
              <w:top w:val="nil"/>
              <w:left w:val="nil"/>
              <w:bottom w:val="single" w:color="auto" w:sz="12" w:space="0"/>
              <w:right w:val="nil"/>
            </w:tcBorders>
            <w:noWrap w:val="0"/>
            <w:vAlign w:val="center"/>
          </w:tcPr>
          <w:p w14:paraId="4DD2EC0F">
            <w:pPr>
              <w:pStyle w:val="6"/>
              <w:widowControl w:val="0"/>
              <w:snapToGrid w:val="0"/>
              <w:spacing w:before="55" w:line="240" w:lineRule="auto"/>
              <w:ind w:left="0" w:leftChars="0" w:right="0" w:rightChars="0" w:firstLine="0" w:firstLineChars="0"/>
              <w:contextualSpacing/>
              <w:jc w:val="left"/>
              <w:outlineLvl w:val="2"/>
              <w:rPr>
                <w:rFonts w:hint="default" w:ascii="Times New Roman" w:hAnsi="Times New Roman" w:eastAsia="Calibri" w:cs="Times New Roman"/>
                <w:b/>
                <w:bCs/>
                <w:spacing w:val="4"/>
                <w:position w:val="2"/>
                <w:sz w:val="20"/>
                <w:szCs w:val="16"/>
                <w:vertAlign w:val="baseline"/>
                <w:lang w:eastAsia="zh-CN"/>
              </w:rPr>
            </w:pPr>
            <w:r>
              <w:rPr>
                <w:rFonts w:hint="default" w:ascii="Times New Roman" w:hAnsi="Times New Roman" w:eastAsia="Calibri" w:cs="Times New Roman"/>
                <w:i/>
                <w:iCs/>
                <w:spacing w:val="4"/>
                <w:position w:val="2"/>
                <w:sz w:val="20"/>
                <w:szCs w:val="20"/>
                <w:lang w:eastAsia="zh-CN"/>
              </w:rPr>
              <w:t>( ("Metadata Title":"art student*" OR "Abstract":"art student*" OR "Abstract":"design student*" OR "Abstract":"art education" OR "Abstract":"design education" OR "Author Keywords":"art" OR "Author Keywords":"design") AND ("Abstract":"generative AI" OR "Abstract":"AI art tool*" OR "Abstract":"text-to-image" OR "Author Keywords":"generative AI" OR "Author Keywords":"AI") ) AND ("Abstract":anxiety OR "Abstract":attitude* OR "Abstract":perception* OR "Abstract":acceptance OR "Abstract":satisfaction OR "Abstract":challenge* OR "Abstract":concern* OR "Author Keywords":attitude OR "Author Keywords":acceptance)</w:t>
            </w:r>
          </w:p>
        </w:tc>
        <w:tc>
          <w:tcPr>
            <w:tcW w:w="3783" w:type="dxa"/>
            <w:tcBorders>
              <w:top w:val="nil"/>
              <w:left w:val="nil"/>
              <w:bottom w:val="single" w:color="auto" w:sz="12" w:space="0"/>
              <w:right w:val="nil"/>
            </w:tcBorders>
            <w:noWrap w:val="0"/>
            <w:vAlign w:val="center"/>
          </w:tcPr>
          <w:p w14:paraId="064FB62A">
            <w:pPr>
              <w:pStyle w:val="6"/>
              <w:widowControl w:val="0"/>
              <w:snapToGrid w:val="0"/>
              <w:spacing w:before="55" w:line="240" w:lineRule="auto"/>
              <w:ind w:left="0" w:leftChars="0" w:right="0" w:rightChars="0" w:firstLine="0" w:firstLineChars="0"/>
              <w:contextualSpacing/>
              <w:jc w:val="left"/>
              <w:outlineLvl w:val="2"/>
              <w:rPr>
                <w:rFonts w:hint="default" w:ascii="Times New Roman" w:hAnsi="Times New Roman" w:eastAsia="Calibri" w:cs="Times New Roman"/>
                <w:b/>
                <w:bCs/>
                <w:spacing w:val="4"/>
                <w:position w:val="2"/>
                <w:sz w:val="20"/>
                <w:szCs w:val="16"/>
                <w:vertAlign w:val="baseline"/>
                <w:lang w:eastAsia="zh-CN"/>
              </w:rPr>
            </w:pPr>
            <w:r>
              <w:rPr>
                <w:rFonts w:hint="default" w:ascii="Times New Roman" w:hAnsi="Times New Roman" w:eastAsia="Calibri" w:cs="Times New Roman"/>
                <w:i w:val="0"/>
                <w:iCs w:val="0"/>
                <w:spacing w:val="4"/>
                <w:position w:val="2"/>
                <w:sz w:val="20"/>
                <w:szCs w:val="24"/>
                <w:lang w:eastAsia="zh-CN"/>
              </w:rPr>
              <w:t>Supplemental keywords for IEEE Xplore: User Experience, User Satisfaction, Creativity, Human-computer Interaction, Creative Process</w:t>
            </w:r>
          </w:p>
        </w:tc>
      </w:tr>
    </w:tbl>
    <w:p w14:paraId="26FBA9C7">
      <w:pPr>
        <w:pStyle w:val="6"/>
        <w:keepNext w:val="0"/>
        <w:keepLines w:val="0"/>
        <w:pageBreakBefore w:val="0"/>
        <w:widowControl/>
        <w:kinsoku w:val="0"/>
        <w:wordWrap/>
        <w:overflowPunct/>
        <w:topLinePunct w:val="0"/>
        <w:autoSpaceDE w:val="0"/>
        <w:autoSpaceDN w:val="0"/>
        <w:bidi w:val="0"/>
        <w:adjustRightInd w:val="0"/>
        <w:snapToGrid/>
        <w:spacing w:before="100" w:beforeAutospacing="1" w:after="100" w:afterAutospacing="1" w:line="360" w:lineRule="auto"/>
        <w:contextualSpacing/>
        <w:jc w:val="both"/>
        <w:textAlignment w:val="baseline"/>
        <w:outlineLvl w:val="2"/>
        <w:rPr>
          <w:rFonts w:hint="default" w:ascii="Times New Roman" w:hAnsi="Times New Roman" w:cs="Times New Roman"/>
          <w:b/>
          <w:bCs/>
          <w:spacing w:val="4"/>
          <w:position w:val="2"/>
          <w:sz w:val="24"/>
          <w:szCs w:val="24"/>
          <w:lang w:val="en-US" w:eastAsia="zh-CN"/>
        </w:rPr>
      </w:pPr>
    </w:p>
    <w:sectPr>
      <w:type w:val="continuous"/>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Liberation Serif">
    <w:altName w:val="Segoe Print"/>
    <w:panose1 w:val="00000000000000000000"/>
    <w:charset w:val="00"/>
    <w:family w:val="roman"/>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ACF3C50" w:usb2="00000016" w:usb3="00000000" w:csb0="0004001F" w:csb1="00000000"/>
  </w:font>
  <w:font w:name="Palatino Linotype">
    <w:panose1 w:val="02040502050505030304"/>
    <w:charset w:val="00"/>
    <w:family w:val="roman"/>
    <w:pitch w:val="default"/>
    <w:sig w:usb0="E0000287" w:usb1="40000013" w:usb2="00000000" w:usb3="00000000" w:csb0="2000019F" w:csb1="00000000"/>
  </w:font>
  <w:font w:name="MingLiU">
    <w:panose1 w:val="02020509000000000000"/>
    <w:charset w:val="88"/>
    <w:family w:val="modern"/>
    <w:pitch w:val="default"/>
    <w:sig w:usb0="A00002FF" w:usb1="28CFFCFA" w:usb2="00000016" w:usb3="00000000" w:csb0="00100001" w:csb1="00000000"/>
  </w:font>
  <w:font w:name="ui-sans-serif">
    <w:altName w:val="Segoe Print"/>
    <w:panose1 w:val="00000000000000000000"/>
    <w:charset w:val="00"/>
    <w:family w:val="auto"/>
    <w:pitch w:val="default"/>
    <w:sig w:usb0="00000000" w:usb1="00000000" w:usb2="00000000" w:usb3="00000000" w:csb0="00040001" w:csb1="00000000"/>
  </w:font>
  <w:font w:name="Segoe UI">
    <w:panose1 w:val="020B0502040204020203"/>
    <w:charset w:val="00"/>
    <w:family w:val="auto"/>
    <w:pitch w:val="default"/>
    <w:sig w:usb0="E4002EFF" w:usb1="C000E47F" w:usb2="00000009" w:usb3="00000000" w:csb0="200001FF" w:csb1="00000000"/>
  </w:font>
  <w:font w:name="serif">
    <w:altName w:val="Segoe Print"/>
    <w:panose1 w:val="00000000000000000000"/>
    <w:charset w:val="00"/>
    <w:family w:val="auto"/>
    <w:pitch w:val="default"/>
    <w:sig w:usb0="00000000" w:usb1="00000000" w:usb2="00000000" w:usb3="00000000" w:csb0="00000000"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CD1A45"/>
    <w:rsid w:val="00020686"/>
    <w:rsid w:val="00026737"/>
    <w:rsid w:val="0004634F"/>
    <w:rsid w:val="000E2594"/>
    <w:rsid w:val="000F591C"/>
    <w:rsid w:val="00105856"/>
    <w:rsid w:val="0019032F"/>
    <w:rsid w:val="001B1B20"/>
    <w:rsid w:val="0029404B"/>
    <w:rsid w:val="002A2736"/>
    <w:rsid w:val="00347238"/>
    <w:rsid w:val="004344BE"/>
    <w:rsid w:val="004606F2"/>
    <w:rsid w:val="0046115A"/>
    <w:rsid w:val="00493D56"/>
    <w:rsid w:val="00524313"/>
    <w:rsid w:val="005438FA"/>
    <w:rsid w:val="005D384D"/>
    <w:rsid w:val="005F5FA1"/>
    <w:rsid w:val="00646654"/>
    <w:rsid w:val="00704A5B"/>
    <w:rsid w:val="0079518F"/>
    <w:rsid w:val="007B1F10"/>
    <w:rsid w:val="007F5F4C"/>
    <w:rsid w:val="00840EEB"/>
    <w:rsid w:val="008553EB"/>
    <w:rsid w:val="00896F8E"/>
    <w:rsid w:val="0090199C"/>
    <w:rsid w:val="00920750"/>
    <w:rsid w:val="00951067"/>
    <w:rsid w:val="0098139C"/>
    <w:rsid w:val="009B5406"/>
    <w:rsid w:val="00AB453A"/>
    <w:rsid w:val="00AE0F8A"/>
    <w:rsid w:val="00B531CB"/>
    <w:rsid w:val="00B62CF3"/>
    <w:rsid w:val="00B65176"/>
    <w:rsid w:val="00B81DBF"/>
    <w:rsid w:val="00B86056"/>
    <w:rsid w:val="00BA7C61"/>
    <w:rsid w:val="00BC4D0B"/>
    <w:rsid w:val="00C76A8E"/>
    <w:rsid w:val="00CD3290"/>
    <w:rsid w:val="00D90762"/>
    <w:rsid w:val="00DB0BE9"/>
    <w:rsid w:val="00DD7C20"/>
    <w:rsid w:val="00E42DE8"/>
    <w:rsid w:val="00E6755D"/>
    <w:rsid w:val="00EE35D6"/>
    <w:rsid w:val="00F17EFB"/>
    <w:rsid w:val="00F51A54"/>
    <w:rsid w:val="00FC1872"/>
    <w:rsid w:val="00FE232E"/>
    <w:rsid w:val="02054F52"/>
    <w:rsid w:val="02111396"/>
    <w:rsid w:val="02AB3D4B"/>
    <w:rsid w:val="02B7176E"/>
    <w:rsid w:val="02E903CF"/>
    <w:rsid w:val="038A7E04"/>
    <w:rsid w:val="0405569A"/>
    <w:rsid w:val="05924D4E"/>
    <w:rsid w:val="0696261C"/>
    <w:rsid w:val="06CC7736"/>
    <w:rsid w:val="072C6E2A"/>
    <w:rsid w:val="073360BD"/>
    <w:rsid w:val="07B42F31"/>
    <w:rsid w:val="07BC2556"/>
    <w:rsid w:val="07DC6755"/>
    <w:rsid w:val="07DF16B0"/>
    <w:rsid w:val="07DF3D76"/>
    <w:rsid w:val="086F1377"/>
    <w:rsid w:val="093C54C7"/>
    <w:rsid w:val="0A8A693C"/>
    <w:rsid w:val="0B71455F"/>
    <w:rsid w:val="0B7D1FFD"/>
    <w:rsid w:val="0B9E4F69"/>
    <w:rsid w:val="0BB21CA6"/>
    <w:rsid w:val="0BD51A41"/>
    <w:rsid w:val="0C300E1D"/>
    <w:rsid w:val="0C963376"/>
    <w:rsid w:val="0CFD33F5"/>
    <w:rsid w:val="0D7336B7"/>
    <w:rsid w:val="0E4D215A"/>
    <w:rsid w:val="0EB335D1"/>
    <w:rsid w:val="0EEC54CF"/>
    <w:rsid w:val="0FCD3553"/>
    <w:rsid w:val="1025513D"/>
    <w:rsid w:val="11575136"/>
    <w:rsid w:val="116B75DD"/>
    <w:rsid w:val="116F0A06"/>
    <w:rsid w:val="11965BC6"/>
    <w:rsid w:val="146401FE"/>
    <w:rsid w:val="14700951"/>
    <w:rsid w:val="14812B5E"/>
    <w:rsid w:val="149C7998"/>
    <w:rsid w:val="15802E15"/>
    <w:rsid w:val="167F9647"/>
    <w:rsid w:val="16866209"/>
    <w:rsid w:val="16893F4C"/>
    <w:rsid w:val="169E740B"/>
    <w:rsid w:val="16B94831"/>
    <w:rsid w:val="16C32FBA"/>
    <w:rsid w:val="1700420E"/>
    <w:rsid w:val="17FD7FE9"/>
    <w:rsid w:val="184E0FA9"/>
    <w:rsid w:val="18BF5A03"/>
    <w:rsid w:val="18CD22FA"/>
    <w:rsid w:val="18DA5C03"/>
    <w:rsid w:val="18FF4051"/>
    <w:rsid w:val="19324427"/>
    <w:rsid w:val="19F94F44"/>
    <w:rsid w:val="1A513927"/>
    <w:rsid w:val="1BC14D43"/>
    <w:rsid w:val="1BF34341"/>
    <w:rsid w:val="1C16002F"/>
    <w:rsid w:val="1CCB706C"/>
    <w:rsid w:val="1D4672A6"/>
    <w:rsid w:val="1E260E02"/>
    <w:rsid w:val="1F58270D"/>
    <w:rsid w:val="209D3018"/>
    <w:rsid w:val="20B31431"/>
    <w:rsid w:val="20D5684C"/>
    <w:rsid w:val="21EC6AA0"/>
    <w:rsid w:val="222C235B"/>
    <w:rsid w:val="226338A3"/>
    <w:rsid w:val="22FB3FA8"/>
    <w:rsid w:val="2304571E"/>
    <w:rsid w:val="235112C1"/>
    <w:rsid w:val="23B24AE2"/>
    <w:rsid w:val="24681644"/>
    <w:rsid w:val="24B108F5"/>
    <w:rsid w:val="24C804F5"/>
    <w:rsid w:val="253B0B07"/>
    <w:rsid w:val="258673AB"/>
    <w:rsid w:val="25CE54D7"/>
    <w:rsid w:val="27C70430"/>
    <w:rsid w:val="27E965F8"/>
    <w:rsid w:val="27F13C79"/>
    <w:rsid w:val="28C52BC1"/>
    <w:rsid w:val="2944442E"/>
    <w:rsid w:val="29B36EBE"/>
    <w:rsid w:val="2A8E0898"/>
    <w:rsid w:val="2AD12E42"/>
    <w:rsid w:val="2BF9254E"/>
    <w:rsid w:val="2C60715C"/>
    <w:rsid w:val="2D2500D2"/>
    <w:rsid w:val="2D6E6317"/>
    <w:rsid w:val="2DC773DC"/>
    <w:rsid w:val="2DE0224B"/>
    <w:rsid w:val="2E56250D"/>
    <w:rsid w:val="2E6E5AA9"/>
    <w:rsid w:val="2F8337D6"/>
    <w:rsid w:val="2F8FC499"/>
    <w:rsid w:val="2FDE5A59"/>
    <w:rsid w:val="30201025"/>
    <w:rsid w:val="302C6D8E"/>
    <w:rsid w:val="30615EEC"/>
    <w:rsid w:val="30C7305D"/>
    <w:rsid w:val="315E0057"/>
    <w:rsid w:val="322B7D76"/>
    <w:rsid w:val="32EB45B4"/>
    <w:rsid w:val="3378728F"/>
    <w:rsid w:val="33DF6B01"/>
    <w:rsid w:val="343E7CCC"/>
    <w:rsid w:val="352073D1"/>
    <w:rsid w:val="359C114E"/>
    <w:rsid w:val="35FA1FB3"/>
    <w:rsid w:val="360E55BB"/>
    <w:rsid w:val="361C5DEB"/>
    <w:rsid w:val="363650FE"/>
    <w:rsid w:val="36681030"/>
    <w:rsid w:val="36E62382"/>
    <w:rsid w:val="36EA7849"/>
    <w:rsid w:val="37DF3574"/>
    <w:rsid w:val="38376F0C"/>
    <w:rsid w:val="38800B35"/>
    <w:rsid w:val="38877E93"/>
    <w:rsid w:val="39693A3D"/>
    <w:rsid w:val="3A802DEC"/>
    <w:rsid w:val="3AC52EF5"/>
    <w:rsid w:val="3AF13CEA"/>
    <w:rsid w:val="3B5878C5"/>
    <w:rsid w:val="3B830F21"/>
    <w:rsid w:val="3CE84BDA"/>
    <w:rsid w:val="3D5D7415"/>
    <w:rsid w:val="3DE23DBE"/>
    <w:rsid w:val="3E393441"/>
    <w:rsid w:val="3E5C147A"/>
    <w:rsid w:val="3EB07A18"/>
    <w:rsid w:val="3EB91CF7"/>
    <w:rsid w:val="3EBE3EE3"/>
    <w:rsid w:val="3F1104B7"/>
    <w:rsid w:val="3F6327B3"/>
    <w:rsid w:val="3F770103"/>
    <w:rsid w:val="3FBB0422"/>
    <w:rsid w:val="3FF468EF"/>
    <w:rsid w:val="403F2E01"/>
    <w:rsid w:val="410D2F00"/>
    <w:rsid w:val="41540B2E"/>
    <w:rsid w:val="419929E5"/>
    <w:rsid w:val="42333557"/>
    <w:rsid w:val="43C875B2"/>
    <w:rsid w:val="43E20674"/>
    <w:rsid w:val="44240C8C"/>
    <w:rsid w:val="4427077C"/>
    <w:rsid w:val="45414B3A"/>
    <w:rsid w:val="45576E3F"/>
    <w:rsid w:val="46D139EA"/>
    <w:rsid w:val="46F13959"/>
    <w:rsid w:val="48C93BB0"/>
    <w:rsid w:val="48EB7FCA"/>
    <w:rsid w:val="495913D8"/>
    <w:rsid w:val="49780EB5"/>
    <w:rsid w:val="4AAE5753"/>
    <w:rsid w:val="4B0F6ECF"/>
    <w:rsid w:val="4B1D01E3"/>
    <w:rsid w:val="4BE96317"/>
    <w:rsid w:val="4C115F9A"/>
    <w:rsid w:val="4D981DA3"/>
    <w:rsid w:val="4DC4703C"/>
    <w:rsid w:val="4E516B22"/>
    <w:rsid w:val="4E52289A"/>
    <w:rsid w:val="4F734876"/>
    <w:rsid w:val="50096F88"/>
    <w:rsid w:val="501047BA"/>
    <w:rsid w:val="502D711A"/>
    <w:rsid w:val="50AA42C7"/>
    <w:rsid w:val="50DB26D2"/>
    <w:rsid w:val="510734C7"/>
    <w:rsid w:val="511B6F73"/>
    <w:rsid w:val="512266B4"/>
    <w:rsid w:val="51363DAD"/>
    <w:rsid w:val="51402E7D"/>
    <w:rsid w:val="52A26070"/>
    <w:rsid w:val="53737E17"/>
    <w:rsid w:val="53874D93"/>
    <w:rsid w:val="5455279C"/>
    <w:rsid w:val="54790B80"/>
    <w:rsid w:val="555317F8"/>
    <w:rsid w:val="55766E6E"/>
    <w:rsid w:val="55766EA1"/>
    <w:rsid w:val="55C51BA3"/>
    <w:rsid w:val="564451BE"/>
    <w:rsid w:val="56772E9D"/>
    <w:rsid w:val="567A4331"/>
    <w:rsid w:val="56861B4A"/>
    <w:rsid w:val="574A24DD"/>
    <w:rsid w:val="576D604E"/>
    <w:rsid w:val="57994FD5"/>
    <w:rsid w:val="589D1F31"/>
    <w:rsid w:val="59CD1A45"/>
    <w:rsid w:val="5A2E1BA5"/>
    <w:rsid w:val="5A7A11AE"/>
    <w:rsid w:val="5AA10BBF"/>
    <w:rsid w:val="5B0B62AA"/>
    <w:rsid w:val="5B590DC3"/>
    <w:rsid w:val="5BCA1CC1"/>
    <w:rsid w:val="5D6879E4"/>
    <w:rsid w:val="5DDE1A54"/>
    <w:rsid w:val="5E224037"/>
    <w:rsid w:val="5E282CCF"/>
    <w:rsid w:val="5EDA66BF"/>
    <w:rsid w:val="5EEF5DC4"/>
    <w:rsid w:val="5FA62A45"/>
    <w:rsid w:val="5FFC2665"/>
    <w:rsid w:val="612956DC"/>
    <w:rsid w:val="61381560"/>
    <w:rsid w:val="62946B85"/>
    <w:rsid w:val="62DF24F6"/>
    <w:rsid w:val="6353259C"/>
    <w:rsid w:val="63576530"/>
    <w:rsid w:val="64871193"/>
    <w:rsid w:val="64B90B25"/>
    <w:rsid w:val="64C33752"/>
    <w:rsid w:val="65320613"/>
    <w:rsid w:val="66AF21DF"/>
    <w:rsid w:val="66BC48FC"/>
    <w:rsid w:val="66C53691"/>
    <w:rsid w:val="67310E46"/>
    <w:rsid w:val="67B57CC9"/>
    <w:rsid w:val="67CA4DF7"/>
    <w:rsid w:val="6807133A"/>
    <w:rsid w:val="6829183D"/>
    <w:rsid w:val="6949691B"/>
    <w:rsid w:val="699851AD"/>
    <w:rsid w:val="69B505DA"/>
    <w:rsid w:val="6A835E5D"/>
    <w:rsid w:val="6ABE6E95"/>
    <w:rsid w:val="6B361121"/>
    <w:rsid w:val="6B8D6867"/>
    <w:rsid w:val="6BF73A3C"/>
    <w:rsid w:val="6C5630FD"/>
    <w:rsid w:val="6CA125CA"/>
    <w:rsid w:val="6D005437"/>
    <w:rsid w:val="6DEF7365"/>
    <w:rsid w:val="6DF42BCE"/>
    <w:rsid w:val="6E4A0A40"/>
    <w:rsid w:val="6ECC354C"/>
    <w:rsid w:val="6F0E242B"/>
    <w:rsid w:val="6F484F7F"/>
    <w:rsid w:val="6F4D6A39"/>
    <w:rsid w:val="6FD827A7"/>
    <w:rsid w:val="705F07D2"/>
    <w:rsid w:val="70C34349"/>
    <w:rsid w:val="70E92792"/>
    <w:rsid w:val="710D46D2"/>
    <w:rsid w:val="71BF2A86"/>
    <w:rsid w:val="71D376CA"/>
    <w:rsid w:val="71E52F59"/>
    <w:rsid w:val="71FA0BD5"/>
    <w:rsid w:val="72B55021"/>
    <w:rsid w:val="7349576A"/>
    <w:rsid w:val="734C63A4"/>
    <w:rsid w:val="7384715C"/>
    <w:rsid w:val="73AF7CC3"/>
    <w:rsid w:val="73F775CE"/>
    <w:rsid w:val="74055B35"/>
    <w:rsid w:val="74235FBB"/>
    <w:rsid w:val="74496042"/>
    <w:rsid w:val="745443C6"/>
    <w:rsid w:val="74CC0400"/>
    <w:rsid w:val="756D573F"/>
    <w:rsid w:val="758331B5"/>
    <w:rsid w:val="758B3E18"/>
    <w:rsid w:val="767572DB"/>
    <w:rsid w:val="770E5DD2"/>
    <w:rsid w:val="7715608F"/>
    <w:rsid w:val="773565A2"/>
    <w:rsid w:val="777F6F41"/>
    <w:rsid w:val="781A3FD2"/>
    <w:rsid w:val="786D5A56"/>
    <w:rsid w:val="7A01351B"/>
    <w:rsid w:val="7A4F18B8"/>
    <w:rsid w:val="7A807CC3"/>
    <w:rsid w:val="7A87286F"/>
    <w:rsid w:val="7AF366E7"/>
    <w:rsid w:val="7BDB391E"/>
    <w:rsid w:val="7C6453C2"/>
    <w:rsid w:val="7CEDED9E"/>
    <w:rsid w:val="7D3E79C1"/>
    <w:rsid w:val="7D40198C"/>
    <w:rsid w:val="7DE467BB"/>
    <w:rsid w:val="7DF54D57"/>
    <w:rsid w:val="7E1617C1"/>
    <w:rsid w:val="7E762389"/>
    <w:rsid w:val="7E85594F"/>
    <w:rsid w:val="7F6F7C7B"/>
    <w:rsid w:val="7F923FF5"/>
    <w:rsid w:val="BFED19F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unhideWhenUsed/>
    <w:qFormat/>
    <w:uiPriority w:val="0"/>
    <w:pPr>
      <w:spacing w:beforeAutospacing="1" w:afterAutospacing="1"/>
      <w:outlineLvl w:val="1"/>
    </w:pPr>
    <w:rPr>
      <w:rFonts w:hint="eastAsia" w:ascii="宋体" w:hAnsi="宋体" w:eastAsia="宋体" w:cs="Times New Roman"/>
      <w:b/>
      <w:bCs/>
      <w:sz w:val="36"/>
      <w:szCs w:val="36"/>
      <w:lang w:eastAsia="zh-CN"/>
    </w:rPr>
  </w:style>
  <w:style w:type="paragraph" w:styleId="3">
    <w:name w:val="heading 3"/>
    <w:basedOn w:val="1"/>
    <w:next w:val="1"/>
    <w:unhideWhenUsed/>
    <w:qFormat/>
    <w:uiPriority w:val="0"/>
    <w:pPr>
      <w:spacing w:beforeAutospacing="1" w:afterAutospacing="1"/>
      <w:outlineLvl w:val="2"/>
    </w:pPr>
    <w:rPr>
      <w:rFonts w:hint="eastAsia" w:ascii="宋体" w:hAnsi="宋体" w:eastAsia="宋体" w:cs="Times New Roman"/>
      <w:b/>
      <w:bCs/>
      <w:sz w:val="27"/>
      <w:szCs w:val="27"/>
      <w:lang w:eastAsia="zh-CN"/>
    </w:rPr>
  </w:style>
  <w:style w:type="character" w:default="1" w:styleId="13">
    <w:name w:val="Default Paragraph Font"/>
    <w:unhideWhenUsed/>
    <w:qFormat/>
    <w:uiPriority w:val="1"/>
  </w:style>
  <w:style w:type="table" w:default="1" w:styleId="11">
    <w:name w:val="Normal Table"/>
    <w:unhideWhenUsed/>
    <w:qFormat/>
    <w:uiPriority w:val="99"/>
    <w:tblPr>
      <w:tblCellMar>
        <w:top w:w="0" w:type="dxa"/>
        <w:left w:w="108" w:type="dxa"/>
        <w:bottom w:w="0" w:type="dxa"/>
        <w:right w:w="108" w:type="dxa"/>
      </w:tblCellMar>
    </w:tblPr>
  </w:style>
  <w:style w:type="paragraph" w:styleId="4">
    <w:name w:val="caption"/>
    <w:basedOn w:val="1"/>
    <w:next w:val="1"/>
    <w:unhideWhenUsed/>
    <w:qFormat/>
    <w:uiPriority w:val="0"/>
    <w:rPr>
      <w:rFonts w:eastAsia="黑体"/>
      <w:sz w:val="20"/>
    </w:rPr>
  </w:style>
  <w:style w:type="paragraph" w:styleId="5">
    <w:name w:val="annotation text"/>
    <w:basedOn w:val="1"/>
    <w:link w:val="18"/>
    <w:qFormat/>
    <w:uiPriority w:val="0"/>
    <w:rPr>
      <w:sz w:val="20"/>
      <w:szCs w:val="20"/>
    </w:rPr>
  </w:style>
  <w:style w:type="paragraph" w:styleId="6">
    <w:name w:val="Body Text"/>
    <w:basedOn w:val="1"/>
    <w:semiHidden/>
    <w:qFormat/>
    <w:uiPriority w:val="0"/>
    <w:rPr>
      <w:rFonts w:ascii="Calibri" w:hAnsi="Calibri" w:eastAsia="Calibri" w:cs="Calibri"/>
      <w:sz w:val="20"/>
      <w:szCs w:val="20"/>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spacing w:beforeAutospacing="1" w:afterAutospacing="1"/>
    </w:pPr>
    <w:rPr>
      <w:rFonts w:cs="Times New Roman"/>
      <w:sz w:val="24"/>
      <w:lang w:eastAsia="zh-CN"/>
    </w:rPr>
  </w:style>
  <w:style w:type="paragraph" w:styleId="10">
    <w:name w:val="annotation subject"/>
    <w:basedOn w:val="5"/>
    <w:next w:val="5"/>
    <w:link w:val="19"/>
    <w:qFormat/>
    <w:uiPriority w:val="0"/>
    <w:rPr>
      <w:b/>
      <w:bCs/>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character" w:styleId="15">
    <w:name w:val="Emphasis"/>
    <w:basedOn w:val="13"/>
    <w:qFormat/>
    <w:uiPriority w:val="0"/>
    <w:rPr>
      <w:i/>
    </w:rPr>
  </w:style>
  <w:style w:type="character" w:styleId="16">
    <w:name w:val="Hyperlink"/>
    <w:basedOn w:val="13"/>
    <w:qFormat/>
    <w:uiPriority w:val="0"/>
    <w:rPr>
      <w:color w:val="0000FF"/>
      <w:u w:val="single"/>
    </w:rPr>
  </w:style>
  <w:style w:type="character" w:styleId="17">
    <w:name w:val="annotation reference"/>
    <w:basedOn w:val="13"/>
    <w:qFormat/>
    <w:uiPriority w:val="0"/>
    <w:rPr>
      <w:sz w:val="16"/>
      <w:szCs w:val="16"/>
    </w:rPr>
  </w:style>
  <w:style w:type="character" w:customStyle="1" w:styleId="18">
    <w:name w:val="Comment Text Char"/>
    <w:basedOn w:val="13"/>
    <w:link w:val="5"/>
    <w:qFormat/>
    <w:uiPriority w:val="0"/>
    <w:rPr>
      <w:rFonts w:ascii="Arial" w:hAnsi="Arial" w:eastAsia="Arial" w:cs="Arial"/>
      <w:snapToGrid w:val="0"/>
      <w:color w:val="000000"/>
      <w:lang w:val="en-US" w:eastAsia="en-US"/>
    </w:rPr>
  </w:style>
  <w:style w:type="character" w:customStyle="1" w:styleId="19">
    <w:name w:val="Comment Subject Char"/>
    <w:basedOn w:val="18"/>
    <w:link w:val="10"/>
    <w:qFormat/>
    <w:uiPriority w:val="0"/>
    <w:rPr>
      <w:rFonts w:ascii="Arial" w:hAnsi="Arial" w:eastAsia="Arial" w:cs="Arial"/>
      <w:b/>
      <w:bCs/>
      <w:snapToGrid w:val="0"/>
      <w:color w:val="000000"/>
      <w:lang w:val="en-US" w:eastAsia="en-US"/>
    </w:rPr>
  </w:style>
  <w:style w:type="character" w:customStyle="1" w:styleId="20">
    <w:name w:val="Unresolved Mention"/>
    <w:basedOn w:val="13"/>
    <w:unhideWhenUsed/>
    <w:qFormat/>
    <w:uiPriority w:val="99"/>
    <w:rPr>
      <w:color w:val="605E5C"/>
      <w:shd w:val="clear" w:color="auto" w:fill="E1DFDD"/>
    </w:rPr>
  </w:style>
  <w:style w:type="paragraph" w:customStyle="1" w:styleId="21">
    <w:name w:val="Revision"/>
    <w:unhideWhenUsed/>
    <w:qFormat/>
    <w:uiPriority w:val="99"/>
    <w:rPr>
      <w:rFonts w:ascii="Arial" w:hAnsi="Arial" w:eastAsia="Arial" w:cs="Arial"/>
      <w:snapToGrid w:val="0"/>
      <w:color w:val="000000"/>
      <w:sz w:val="21"/>
      <w:szCs w:val="21"/>
      <w:lang w:val="en-US" w:eastAsia="en-US" w:bidi="ar-SA"/>
    </w:rPr>
  </w:style>
  <w:style w:type="paragraph" w:customStyle="1" w:styleId="22">
    <w:name w:val="Table Paragraph"/>
    <w:basedOn w:val="1"/>
    <w:qFormat/>
    <w:uiPriority w:val="1"/>
    <w:pPr>
      <w:spacing w:before="110"/>
      <w:ind w:left="30"/>
    </w:pPr>
    <w:rPr>
      <w:rFonts w:ascii="Liberation Serif" w:hAnsi="Liberation Serif" w:eastAsia="Liberation Serif" w:cs="Liberation Serif"/>
      <w:lang w:val="en-US" w:eastAsia="en-US" w:bidi="ar-SA"/>
    </w:rPr>
  </w:style>
  <w:style w:type="character" w:customStyle="1" w:styleId="23">
    <w:name w:val="cf01"/>
    <w:basedOn w:val="13"/>
    <w:qFormat/>
    <w:uiPriority w:val="0"/>
    <w:rPr>
      <w:rFonts w:ascii="微软雅黑" w:hAnsi="微软雅黑" w:eastAsia="微软雅黑" w:cs="微软雅黑"/>
      <w:sz w:val="22"/>
      <w:szCs w:val="22"/>
    </w:rPr>
  </w:style>
  <w:style w:type="paragraph" w:customStyle="1" w:styleId="24">
    <w:name w:val="MDPI_1.2_title"/>
    <w:next w:val="1"/>
    <w:autoRedefine/>
    <w:qFormat/>
    <w:uiPriority w:val="0"/>
    <w:pPr>
      <w:adjustRightInd w:val="0"/>
      <w:snapToGrid w:val="0"/>
      <w:spacing w:after="240" w:line="240" w:lineRule="atLeast"/>
    </w:pPr>
    <w:rPr>
      <w:rFonts w:ascii="Palatino Linotype" w:hAnsi="Palatino Linotype" w:eastAsia="Times New Roman" w:cs="Times New Roman"/>
      <w:b/>
      <w:snapToGrid w:val="0"/>
      <w:color w:val="000000"/>
      <w:sz w:val="36"/>
      <w:lang w:val="en-US" w:eastAsia="de-DE" w:bidi="en-US"/>
    </w:rPr>
  </w:style>
  <w:style w:type="paragraph" w:customStyle="1" w:styleId="25">
    <w:name w:val="Author names"/>
    <w:next w:val="1"/>
    <w:qFormat/>
    <w:uiPriority w:val="0"/>
    <w:pPr>
      <w:widowControl w:val="0"/>
      <w:spacing w:before="240" w:line="360" w:lineRule="auto"/>
      <w:ind w:firstLine="560" w:firstLineChars="200"/>
      <w:jc w:val="both"/>
    </w:pPr>
    <w:rPr>
      <w:rFonts w:ascii="Times New Roman" w:hAnsi="Times New Roman" w:eastAsia="宋体" w:cs="Times New Roman"/>
      <w:kern w:val="2"/>
      <w:sz w:val="28"/>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svg"/><Relationship Id="rId8" Type="http://schemas.openxmlformats.org/officeDocument/2006/relationships/image" Target="media/image5.png"/><Relationship Id="rId7" Type="http://schemas.openxmlformats.org/officeDocument/2006/relationships/image" Target="media/image4.svg"/><Relationship Id="rId6" Type="http://schemas.openxmlformats.org/officeDocument/2006/relationships/image" Target="media/image3.png"/><Relationship Id="rId5" Type="http://schemas.openxmlformats.org/officeDocument/2006/relationships/image" Target="media/image2.sv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8.png"/><Relationship Id="rId11" Type="http://schemas.openxmlformats.org/officeDocument/2006/relationships/image" Target="media/image7.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4bbf8614-f4b1-4fa8-b2d8-92ea3b887359</errorID>
      <errorWord>’</errorWord>
      <group>L1_Punc</group>
      <groupName>标点问题</groupName>
      <ability>L2_Punc</ability>
      <abilityName>标点符号检查</abilityName>
      <candidateList/>
      <explain/>
      <paraID> EB6E96A</paraID>
      <start>354</start>
      <end>355</end>
      <status>unmodified</status>
      <modifiedWord/>
      <trackRevisions>false</trackRevisions>
    </reviewItem>
  </reviewItems>
  <config/>
</contractReview>
</file>

<file path=customXml/itemProps1.xml><?xml version="1.0" encoding="utf-8"?>
<ds:datastoreItem xmlns:ds="http://schemas.openxmlformats.org/officeDocument/2006/customXml" ds:itemID="{1885c83d-f527-47f8-90b5-3ac627e03479}">
  <ds:schemaRefs/>
</ds:datastoreItem>
</file>

<file path=docProps/app.xml><?xml version="1.0" encoding="utf-8"?>
<Properties xmlns="http://schemas.openxmlformats.org/officeDocument/2006/extended-properties" xmlns:vt="http://schemas.openxmlformats.org/officeDocument/2006/docPropsVTypes">
  <Template>Normal</Template>
  <Pages>21</Pages>
  <Words>7868</Words>
  <Characters>49503</Characters>
  <Lines>543</Lines>
  <Paragraphs>153</Paragraphs>
  <TotalTime>237</TotalTime>
  <ScaleCrop>false</ScaleCrop>
  <LinksUpToDate>false</LinksUpToDate>
  <CharactersWithSpaces>56839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2025-12-30T12:25:00Z</dcterms:created>
  <dc:creator>鸽子</dc:creator>
  <cp:lastModifiedBy>鸽子</cp:lastModifiedBy>
  <dcterms:modified xsi:type="dcterms:W3CDTF">2026-01-31T09:07:36Z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7C568AFC027E44E78A0CD9841A709ECF_13</vt:lpwstr>
  </property>
  <property fmtid="{D5CDD505-2E9C-101B-9397-08002B2CF9AE}" pid="4" name="KSOTemplateDocerSaveRecord">
    <vt:lpwstr>eyJoZGlkIjoiNGU0MmU4Y2ZiODJjYWFkZDA5Y2Q2NWU3OTczOGY1Y2MiLCJ1c2VySWQiOiIzOTU1NjI0NzgifQ==</vt:lpwstr>
  </property>
  <property fmtid="{D5CDD505-2E9C-101B-9397-08002B2CF9AE}" pid="5" name="_ZOTERO_BIBSTYLE_1">
    <vt:lpwstr>{"firstLineIndent":-384,"indent":384,"lineSpacing":480,"entrySpacing":0,"tabStops":[384],"tabStopsCount":1}</vt:lpwstr>
  </property>
  <property fmtid="{D5CDD505-2E9C-101B-9397-08002B2CF9AE}" pid="6" name="ZOTERO_PREF_1">
    <vt:lpwstr>&lt;data data-version="3" zotero-version="7.0.32"&gt;&lt;session id="hirakmej"/&gt;&lt;style id="http://www.zotero.org/styles/nature" hasBibliography="1" bibliographyStyleHasBeenSet="1"/&gt;&lt;prefs&gt;&lt;pref name="fieldType" value="Field"/&gt;&lt;pref name="delayCitationUpdates" valu</vt:lpwstr>
  </property>
  <property fmtid="{D5CDD505-2E9C-101B-9397-08002B2CF9AE}" pid="7" name="ZOTERO_PREF_2">
    <vt:lpwstr>e="true"/&gt;&lt;/prefs&gt;&lt;/data&gt;</vt:lpwstr>
  </property>
</Properties>
</file>